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btsg-20250801.htm"/>
      <w:bookmarkStart w:id="1" w:name="ksbtsg20250801"/>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ind w:left="4320" w:right="4320" w:hanging="0"/>
        <w:jc w:val="left"/>
        <w:rPr/>
      </w:pPr>
      <w:r>
        <w:rPr/>
        <w:t> </w:t>
      </w:r>
    </w:p>
    <w:p>
      <w:pPr>
        <w:pStyle w:val="Heading2"/>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ind w:left="4320" w:right="4320" w:hanging="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09" w:type="dxa"/>
        <w:jc w:val="left"/>
        <w:tblInd w:w="0" w:type="dxa"/>
        <w:tblLayout w:type="fixed"/>
        <w:tblCellMar>
          <w:top w:w="28" w:type="dxa"/>
          <w:left w:w="28" w:type="dxa"/>
          <w:bottom w:w="28" w:type="dxa"/>
          <w:right w:w="28" w:type="dxa"/>
        </w:tblCellMar>
      </w:tblPr>
      <w:tblGrid>
        <w:gridCol w:w="5609"/>
      </w:tblGrid>
      <w:tr>
        <w:trPr/>
        <w:tc>
          <w:tcPr>
            <w:tcW w:w="5609" w:type="dxa"/>
            <w:tcBorders/>
            <w:vAlign w:val="center"/>
          </w:tcPr>
          <w:p>
            <w:pPr>
              <w:pStyle w:val="TableContents"/>
              <w:bidi w:val="0"/>
              <w:spacing w:before="0" w:after="283"/>
              <w:jc w:val="left"/>
              <w:rPr>
                <w:sz w:val="4"/>
                <w:szCs w:val="4"/>
              </w:rPr>
            </w:pPr>
            <w:r>
              <w:rPr>
                <w:sz w:val="4"/>
                <w:szCs w:val="4"/>
              </w:rPr>
            </w:r>
          </w:p>
        </w:tc>
      </w:tr>
      <w:tr>
        <w:trPr/>
        <w:tc>
          <w:tcPr>
            <w:tcW w:w="560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August 01, 2025</w:t>
            </w:r>
          </w:p>
        </w:tc>
      </w:tr>
    </w:tbl>
    <w:p>
      <w:pPr>
        <w:pStyle w:val="TextBody"/>
        <w:pBdr>
          <w:bottom w:val="single" w:sz="6" w:space="1" w:color="000000"/>
        </w:pBdr>
        <w:bidi w:val="0"/>
        <w:spacing w:before="100" w:after="283"/>
        <w:ind w:left="4320" w:right="4320" w:hanging="0"/>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BrightSpring Health Services,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ind w:left="4320" w:right="4320" w:hanging="0"/>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001-41938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82-2956404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805 N. Whittington Parkway</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Louisville, Kentucky</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40222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5999"/>
      </w:tblGrid>
      <w:tr>
        <w:trPr/>
        <w:tc>
          <w:tcPr>
            <w:tcW w:w="5999" w:type="dxa"/>
            <w:tcBorders/>
            <w:vAlign w:val="center"/>
          </w:tcPr>
          <w:p>
            <w:pPr>
              <w:pStyle w:val="TableContents"/>
              <w:bidi w:val="0"/>
              <w:spacing w:before="0" w:after="283"/>
              <w:jc w:val="left"/>
              <w:rPr>
                <w:sz w:val="4"/>
                <w:szCs w:val="4"/>
              </w:rPr>
            </w:pPr>
            <w:r>
              <w:rPr>
                <w:sz w:val="4"/>
                <w:szCs w:val="4"/>
              </w:rPr>
            </w:r>
          </w:p>
        </w:tc>
      </w:tr>
      <w:tr>
        <w:trPr/>
        <w:tc>
          <w:tcPr>
            <w:tcW w:w="599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502</w:t>
            </w:r>
            <w:r>
              <w:rPr>
                <w:rFonts w:ascii="Times New Roman" w:hAnsi="Times New Roman"/>
                <w:color w:val="000000"/>
                <w:sz w:val="20"/>
              </w:rPr>
              <w:t xml:space="preserve"> </w:t>
            </w:r>
            <w:r>
              <w:rPr>
                <w:rFonts w:ascii="Times New Roman" w:hAnsi="Times New Roman"/>
                <w:b/>
                <w:color w:val="000000"/>
                <w:sz w:val="20"/>
              </w:rPr>
              <w:t>394-2100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ind w:left="4320" w:right="4320" w:hanging="0"/>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BTSG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6.75% Tangible Equity Units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BTSGU</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 2025, BrightSpring Health Services, Inc. issued a press release announcing its financial results for the quarter ended June 30, 2025. A copy of the press release is furnished as Exhibit 99.1 to this Current Report on Form 8-K and incorporated by reference in this Item 2.02.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furnished under this Item 2.02, including Exhibit 99.1, shall not be deemed “filed” for purposes of Section 18 of the Securities Exchange Act of 1934, as amended (the “Exchange Act”), or otherwise subject to the liabilities under that section and shall not be deemed to be incorporated by reference into any filing under the Securities Act of 1933, as amended, or the Exchange Act, except as otherwise expressly stated by specific reference in any such filing.</w:t>
      </w:r>
    </w:p>
    <w:p>
      <w:pPr>
        <w:pStyle w:val="Heading2"/>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Heading2"/>
        <w:bidi w:val="0"/>
        <w:spacing w:before="120" w:after="120"/>
        <w:jc w:val="left"/>
        <w:rPr>
          <w:rFonts w:ascii="Times New Roman" w:hAnsi="Times New Roman"/>
          <w:b/>
          <w:color w:val="000000"/>
          <w:sz w:val="20"/>
        </w:rPr>
      </w:pPr>
      <w:r>
        <w:rPr>
          <w:rFonts w:ascii="Times New Roman" w:hAnsi="Times New Roman"/>
          <w:b/>
          <w:color w:val="000000"/>
          <w:sz w:val="20"/>
        </w:rPr>
        <w:t>(d) Exhibits.</w:t>
      </w:r>
    </w:p>
    <w:tbl>
      <w:tblPr>
        <w:tblW w:w="7498" w:type="dxa"/>
        <w:jc w:val="left"/>
        <w:tblInd w:w="0" w:type="dxa"/>
        <w:tblLayout w:type="fixed"/>
        <w:tblCellMar>
          <w:top w:w="28" w:type="dxa"/>
          <w:left w:w="28" w:type="dxa"/>
          <w:bottom w:w="28" w:type="dxa"/>
          <w:right w:w="28" w:type="dxa"/>
        </w:tblCellMar>
      </w:tblPr>
      <w:tblGrid>
        <w:gridCol w:w="706"/>
        <w:gridCol w:w="146"/>
        <w:gridCol w:w="6646"/>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46"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btsg-ex99_1.htm">
              <w:r>
                <w:rPr>
                  <w:rStyle w:val="InternetLink"/>
                  <w:rFonts w:ascii="Times New Roman" w:hAnsi="Times New Roman"/>
                  <w:color w:val="0000FF"/>
                  <w:sz w:val="20"/>
                  <w:u w:val="single"/>
                </w:rPr>
                <w:t>Press Release of BrightSpring Health Services, Inc., dated August 1, 2025.</w:t>
              </w:r>
            </w:hyperlink>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979" w:type="dxa"/>
        <w:jc w:val="left"/>
        <w:tblInd w:w="0" w:type="dxa"/>
        <w:tblLayout w:type="fixed"/>
        <w:tblCellMar>
          <w:top w:w="28" w:type="dxa"/>
          <w:left w:w="28" w:type="dxa"/>
          <w:bottom w:w="28" w:type="dxa"/>
          <w:right w:w="28" w:type="dxa"/>
        </w:tblCellMar>
      </w:tblPr>
      <w:tblGrid>
        <w:gridCol w:w="556"/>
        <w:gridCol w:w="1351"/>
        <w:gridCol w:w="631"/>
        <w:gridCol w:w="444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BRIGHTSPRING HEALTH SERVICES,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 2025</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4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Jennifer Phipps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44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Jennifer Phipps</w:t>
              <w:br/>
              <w:t>Executive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btsg-ex99_1.htm"/>
      <w:bookmarkStart w:id="3" w:name="ksbtsgex99_1"/>
      <w:bookmarkEnd w:id="2"/>
      <w:bookmarkEnd w:id="3"/>
      <w:r>
        <w:rPr/>
        <w:t> </w:t>
      </w:r>
      <w:r>
        <w:br w:type="page"/>
      </w:r>
    </w:p>
    <w:p>
      <w:pPr>
        <w:pStyle w:val="TextBody"/>
        <w:bidi w:val="0"/>
        <w:jc w:val="right"/>
        <w:rPr/>
      </w:pPr>
      <w:r>
        <w:rPr/>
        <w:t> </w:t>
      </w:r>
    </w:p>
    <w:p>
      <w:pPr>
        <w:pStyle w:val="TextBody"/>
        <w:bidi w:val="0"/>
        <w:jc w:val="center"/>
        <w:rPr>
          <w:rFonts w:ascii="sans-serif" w:hAnsi="sans-serif"/>
          <w:b/>
          <w:color w:val="000000"/>
          <w:sz w:val="24"/>
        </w:rPr>
      </w:pPr>
      <w:r>
        <w:rPr>
          <w:rFonts w:ascii="sans-serif" w:hAnsi="sans-serif"/>
          <w:b/>
          <w:color w:val="000000"/>
          <w:sz w:val="24"/>
        </w:rPr>
        <w:t>BrightSpring Health Services, Inc. Reports Second Quarter 2025 Financial Results and Increases Full Year 2025 Guidance</w:t>
      </w:r>
    </w:p>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2"/>
        </w:rPr>
        <w:t xml:space="preserve">LOUISVILLE, Ky., August 1, 2025 </w:t>
      </w:r>
      <w:r>
        <w:rPr>
          <w:rFonts w:ascii="Times New Roman" w:hAnsi="Times New Roman"/>
          <w:color w:val="000000"/>
          <w:sz w:val="20"/>
        </w:rPr>
        <w:t xml:space="preserve">— </w:t>
      </w:r>
      <w:r>
        <w:rPr>
          <w:rFonts w:ascii="sans-serif" w:hAnsi="sans-serif"/>
          <w:color w:val="000000"/>
          <w:sz w:val="22"/>
        </w:rPr>
        <w:t>BrightSpring Health Services, Inc. (“BrightSpring” or the “Company”) (NASDAQ: BTSG), a leading provider of home and community-based health services for complex populations, today announced financial results for the second quarter ended June 30, 2025, and increased Revenue and Adjusted EBITDA</w:t>
      </w:r>
      <w:r>
        <w:rPr>
          <w:rFonts w:ascii="sans-serif" w:hAnsi="sans-serif"/>
          <w:color w:val="000000"/>
          <w:sz w:val="15"/>
        </w:rPr>
        <w:t>1</w:t>
      </w:r>
      <w:r>
        <w:rPr>
          <w:rFonts w:ascii="Times New Roman" w:hAnsi="Times New Roman"/>
          <w:color w:val="000000"/>
          <w:sz w:val="20"/>
        </w:rPr>
        <w:t xml:space="preserve"> </w:t>
      </w:r>
      <w:r>
        <w:rPr>
          <w:rFonts w:ascii="sans-serif" w:hAnsi="sans-serif"/>
          <w:color w:val="000000"/>
          <w:sz w:val="22"/>
        </w:rPr>
        <w:t>guidance.</w:t>
      </w:r>
    </w:p>
    <w:p>
      <w:pPr>
        <w:pStyle w:val="TextBody"/>
        <w:bidi w:val="0"/>
        <w:spacing w:before="0" w:after="120"/>
        <w:jc w:val="both"/>
        <w:rPr/>
      </w:pPr>
      <w:r>
        <w:rPr/>
        <w:t> </w:t>
      </w:r>
    </w:p>
    <w:p>
      <w:pPr>
        <w:pStyle w:val="TextBody"/>
        <w:bidi w:val="0"/>
        <w:jc w:val="both"/>
        <w:rPr>
          <w:rFonts w:ascii="sans-serif" w:hAnsi="sans-serif"/>
          <w:b/>
          <w:color w:val="000000"/>
          <w:sz w:val="22"/>
        </w:rPr>
      </w:pPr>
      <w:r>
        <w:rPr>
          <w:rFonts w:ascii="sans-serif" w:hAnsi="sans-serif"/>
          <w:b/>
          <w:color w:val="000000"/>
          <w:sz w:val="22"/>
        </w:rPr>
        <w:t>Financial Highlights</w:t>
      </w:r>
    </w:p>
    <w:p>
      <w:pPr>
        <w:pStyle w:val="TextBody"/>
        <w:bidi w:val="0"/>
        <w:spacing w:before="0" w:after="120"/>
        <w:jc w:val="both"/>
        <w:rPr>
          <w:rFonts w:ascii="sans-serif" w:hAnsi="sans-serif"/>
          <w:i/>
          <w:color w:val="000000"/>
          <w:sz w:val="22"/>
        </w:rPr>
      </w:pPr>
      <w:r>
        <w:rPr>
          <w:rFonts w:ascii="sans-serif" w:hAnsi="sans-serif"/>
          <w:i/>
          <w:color w:val="000000"/>
          <w:sz w:val="22"/>
        </w:rPr>
        <w:t>(note: all figures exclude the Community Living business)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Net Revenue of $3,148 million, up 29.1% compared to $2,438 million in the second quarter of 2024.</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 xml:space="preserve">Net Income from Continuing Operations of $8.5 million was flat compared to the second quarter of 2024.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pPr>
      <w:r>
        <w:rPr>
          <w:rFonts w:ascii="sans-serif" w:hAnsi="sans-serif"/>
          <w:color w:val="000000"/>
          <w:sz w:val="22"/>
        </w:rPr>
        <w:t>Adjusted EBITDA</w:t>
      </w:r>
      <w:r>
        <w:rPr>
          <w:rFonts w:ascii="sans-serif" w:hAnsi="sans-serif"/>
          <w:color w:val="000000"/>
          <w:sz w:val="15"/>
        </w:rPr>
        <w:t>1</w:t>
      </w:r>
      <w:r>
        <w:rPr>
          <w:color w:val="000000"/>
        </w:rPr>
        <w:t xml:space="preserve"> </w:t>
      </w:r>
      <w:r>
        <w:rPr>
          <w:rFonts w:ascii="sans-serif" w:hAnsi="sans-serif"/>
          <w:color w:val="000000"/>
          <w:sz w:val="22"/>
        </w:rPr>
        <w:t>of $143 million, up 28.8% versus $111 million in the second quarter of 2024.</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Planned divestiture of Community Living business to Sevita, announced on January 20, 2025, is expected in Q4 2025.</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Increased 2025 Revenue and Adjusted EBITDA guidance:</w:t>
      </w:r>
    </w:p>
    <w:p>
      <w:pPr>
        <w:pStyle w:val="TextBody"/>
        <w:bidi w:val="0"/>
        <w:spacing w:before="0" w:after="0"/>
        <w:ind w:left="1080" w:right="0" w:hanging="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Revenue: $12,200 - $12,600 million</w:t>
      </w:r>
    </w:p>
    <w:p>
      <w:pPr>
        <w:pStyle w:val="TextBody"/>
        <w:bidi w:val="0"/>
        <w:spacing w:before="0" w:after="0"/>
        <w:ind w:left="1080" w:right="0" w:hanging="0"/>
        <w:jc w:val="left"/>
        <w:rPr>
          <w:rFonts w:ascii="Times New Roman" w:hAnsi="Times New Roman"/>
          <w:color w:val="000000"/>
          <w:sz w:val="22"/>
        </w:rPr>
      </w:pPr>
      <w:r>
        <w:rPr>
          <w:rFonts w:ascii="Times New Roman" w:hAnsi="Times New Roman"/>
          <w:color w:val="000000"/>
          <w:sz w:val="22"/>
        </w:rPr>
        <w:t>o</w:t>
      </w:r>
    </w:p>
    <w:p>
      <w:pPr>
        <w:pStyle w:val="TextBody"/>
        <w:bidi w:val="0"/>
        <w:jc w:val="left"/>
        <w:rPr/>
      </w:pPr>
      <w:r>
        <w:rPr>
          <w:rFonts w:ascii="sans-serif" w:hAnsi="sans-serif"/>
          <w:color w:val="000000"/>
          <w:sz w:val="22"/>
        </w:rPr>
        <w:t>Adjusted EBITDA</w:t>
      </w:r>
      <w:r>
        <w:rPr>
          <w:rFonts w:ascii="sans-serif" w:hAnsi="sans-serif"/>
          <w:color w:val="000000"/>
          <w:sz w:val="15"/>
        </w:rPr>
        <w:t>1</w:t>
      </w:r>
      <w:r>
        <w:rPr>
          <w:rFonts w:ascii="sans-serif" w:hAnsi="sans-serif"/>
          <w:color w:val="000000"/>
          <w:sz w:val="22"/>
        </w:rPr>
        <w:t>: $590 - $605 million</w:t>
      </w:r>
    </w:p>
    <w:p>
      <w:pPr>
        <w:pStyle w:val="TextBody"/>
        <w:bidi w:val="0"/>
        <w:jc w:val="both"/>
        <w:rPr/>
      </w:pPr>
      <w:r>
        <w:rPr>
          <w:color w:val="000000"/>
        </w:rPr>
        <w:t>“</w:t>
      </w:r>
      <w:r>
        <w:rPr>
          <w:rFonts w:ascii="sans-serif" w:hAnsi="sans-serif"/>
          <w:color w:val="000000"/>
          <w:sz w:val="22"/>
        </w:rPr>
        <w:t>Our focus on delivering high quality care, operational excellence, and investment in best practices across prioritized markets and services continues to underpin strong overall business performance,” said Jon Rousseau, Chairman, President, and Chief Executive Officer of the Company. “We are committed to delivering coordinated services and excellent care to complex patient populations in our Pharmacy and Provider businesses, which provide significant value to the healthcare system. 2025 has thus far been a very productive year for BrightSpring, as we continue to execute our strategy and deliver results for all stakeholders.”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b/>
          <w:color w:val="000000"/>
          <w:sz w:val="22"/>
        </w:rPr>
        <w:t>Second Quarter 2025 Financial Results</w:t>
      </w:r>
      <w:r>
        <w:rPr>
          <w:rFonts w:ascii="Times New Roman" w:hAnsi="Times New Roman"/>
          <w:color w:val="000000"/>
          <w:sz w:val="20"/>
        </w:rPr>
        <w:t xml:space="preserve"> </w:t>
      </w:r>
    </w:p>
    <w:p>
      <w:pPr>
        <w:pStyle w:val="TextBody"/>
        <w:bidi w:val="0"/>
        <w:spacing w:before="0" w:after="120"/>
        <w:jc w:val="both"/>
        <w:rPr>
          <w:rFonts w:ascii="sans-serif" w:hAnsi="sans-serif"/>
          <w:i/>
          <w:color w:val="000000"/>
          <w:sz w:val="22"/>
        </w:rPr>
      </w:pPr>
      <w:r>
        <w:rPr>
          <w:rFonts w:ascii="sans-serif" w:hAnsi="sans-serif"/>
          <w:i/>
          <w:color w:val="000000"/>
          <w:sz w:val="22"/>
        </w:rPr>
        <w:t>(note: all figures exclude the Community Living business)</w:t>
      </w:r>
    </w:p>
    <w:p>
      <w:pPr>
        <w:pStyle w:val="TextBody"/>
        <w:bidi w:val="0"/>
        <w:jc w:val="both"/>
        <w:rPr>
          <w:rFonts w:ascii="sans-serif" w:hAnsi="sans-serif"/>
          <w:color w:val="000000"/>
          <w:sz w:val="22"/>
        </w:rPr>
      </w:pPr>
      <w:r>
        <w:rPr>
          <w:rFonts w:ascii="sans-serif" w:hAnsi="sans-serif"/>
          <w:color w:val="000000"/>
          <w:sz w:val="22"/>
        </w:rPr>
        <w:t>Net Revenue of $3,148 million, up 29.1% compared to $2,438 million in the second quarter of 2024.</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Gross Profit of $375 million, up 20.1% compared to $312 million in the second quarter of 2024.</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Net Income from Continuing Operations of $8.5 million was flat compared to the second quarter of 2024.</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Adjusted EBITDA</w:t>
      </w:r>
      <w:r>
        <w:rPr>
          <w:rFonts w:ascii="sans-serif" w:hAnsi="sans-serif"/>
          <w:color w:val="000000"/>
          <w:sz w:val="15"/>
        </w:rPr>
        <w:t>1</w:t>
      </w:r>
      <w:r>
        <w:rPr>
          <w:rFonts w:ascii="Times New Roman" w:hAnsi="Times New Roman"/>
          <w:color w:val="000000"/>
          <w:sz w:val="20"/>
        </w:rPr>
        <w:t xml:space="preserve"> </w:t>
      </w:r>
      <w:r>
        <w:rPr>
          <w:rFonts w:ascii="sans-serif" w:hAnsi="sans-serif"/>
          <w:color w:val="000000"/>
          <w:sz w:val="22"/>
        </w:rPr>
        <w:t>of $143 million, up 28.8% compared to $111 million in the second quarter of 2024.</w:t>
      </w:r>
    </w:p>
    <w:p>
      <w:pPr>
        <w:pStyle w:val="TextBody"/>
        <w:bidi w:val="0"/>
        <w:jc w:val="both"/>
        <w:rPr/>
      </w:pPr>
      <w:r>
        <w:rPr/>
        <w:t> </w:t>
      </w:r>
    </w:p>
    <w:p>
      <w:pPr>
        <w:pStyle w:val="TextBody"/>
        <w:bidi w:val="0"/>
        <w:jc w:val="left"/>
        <w:rPr>
          <w:rFonts w:ascii="Times New Roman" w:hAnsi="Times New Roman"/>
          <w:sz w:val="20"/>
        </w:rPr>
      </w:pPr>
      <w:r>
        <w:rPr>
          <w:rFonts w:ascii="sans-serif" w:hAnsi="sans-serif"/>
          <w:color w:val="000000"/>
          <w:sz w:val="13"/>
        </w:rPr>
        <w:t>1</w:t>
      </w:r>
      <w:r>
        <w:rPr>
          <w:rFonts w:ascii="sans-serif" w:hAnsi="sans-serif"/>
          <w:color w:val="000000"/>
          <w:sz w:val="20"/>
        </w:rPr>
        <w:t>Adjusted EBITDA is a non-GAAP financial measure. Please see “Non-GAAP Financial Information” and the end of this press release for a reconciliation of Adjusted EBITDA to net income (loss) from continuing operations, the most directly comparable financial measure prepared in accordance with GAAP.</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1</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jc w:val="left"/>
        <w:rPr>
          <w:rFonts w:ascii="sans-serif" w:hAnsi="sans-serif"/>
          <w:b/>
          <w:color w:val="000000"/>
          <w:sz w:val="22"/>
        </w:rPr>
      </w:pPr>
      <w:r>
        <w:rPr>
          <w:rFonts w:ascii="sans-serif" w:hAnsi="sans-serif"/>
          <w:b/>
          <w:color w:val="000000"/>
          <w:sz w:val="22"/>
        </w:rPr>
        <w:t>Key Financials (for BrightSpring continuing operations)</w:t>
      </w:r>
    </w:p>
    <w:p>
      <w:pPr>
        <w:pStyle w:val="TextBody"/>
        <w:bidi w:val="0"/>
        <w:jc w:val="left"/>
        <w:rPr/>
      </w:pPr>
      <w:r>
        <w:rPr/>
        <w:t> </w:t>
      </w:r>
    </w:p>
    <w:tbl>
      <w:tblPr>
        <w:tblW w:w="7460" w:type="dxa"/>
        <w:jc w:val="left"/>
        <w:tblInd w:w="0" w:type="dxa"/>
        <w:tblLayout w:type="fixed"/>
        <w:tblCellMar>
          <w:top w:w="28" w:type="dxa"/>
          <w:left w:w="28" w:type="dxa"/>
          <w:bottom w:w="28" w:type="dxa"/>
          <w:right w:w="28" w:type="dxa"/>
        </w:tblCellMar>
      </w:tblPr>
      <w:tblGrid>
        <w:gridCol w:w="3901"/>
        <w:gridCol w:w="146"/>
        <w:gridCol w:w="289"/>
        <w:gridCol w:w="853"/>
        <w:gridCol w:w="147"/>
        <w:gridCol w:w="243"/>
        <w:gridCol w:w="853"/>
        <w:gridCol w:w="146"/>
        <w:gridCol w:w="691"/>
        <w:gridCol w:w="1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85" w:type="dxa"/>
            <w:gridSpan w:val="5"/>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85"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 (Unaudited)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90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in millions)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901"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Pharmacy Solutions Revenue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before="0" w:after="283"/>
              <w:ind w:left="0" w:right="60" w:hanging="0"/>
              <w:jc w:val="right"/>
              <w:rPr>
                <w:color w:val="000000"/>
              </w:rPr>
            </w:pPr>
            <w:r>
              <w:rPr>
                <w:color w:val="000000"/>
              </w:rPr>
              <w:t> </w:t>
            </w:r>
            <w:r>
              <w:rPr>
                <w:rFonts w:ascii="sans-serif" w:hAnsi="sans-serif"/>
                <w:color w:val="000000"/>
                <w:sz w:val="20"/>
              </w:rPr>
              <w:t>2,790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before="0" w:after="283"/>
              <w:ind w:left="0" w:right="60" w:hanging="0"/>
              <w:jc w:val="right"/>
              <w:rPr>
                <w:color w:val="000000"/>
              </w:rPr>
            </w:pPr>
            <w:r>
              <w:rPr>
                <w:color w:val="000000"/>
              </w:rPr>
              <w:t> </w:t>
            </w:r>
            <w:r>
              <w:rPr>
                <w:rFonts w:ascii="sans-serif" w:hAnsi="sans-serif"/>
                <w:color w:val="000000"/>
                <w:sz w:val="20"/>
              </w:rPr>
              <w:t>2,114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ind w:left="0" w:right="60" w:hanging="0"/>
              <w:jc w:val="right"/>
              <w:rPr>
                <w:color w:val="000000"/>
              </w:rPr>
            </w:pPr>
            <w:r>
              <w:rPr>
                <w:color w:val="000000"/>
              </w:rPr>
              <w:t> </w:t>
            </w:r>
            <w:r>
              <w:rPr>
                <w:rFonts w:ascii="sans-serif" w:hAnsi="sans-serif"/>
                <w:color w:val="000000"/>
                <w:sz w:val="20"/>
              </w:rPr>
              <w:t>32%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Provider Services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3" w:type="dxa"/>
            <w:tcBorders>
              <w:bottom w:val="single" w:sz="4" w:space="0" w:color="000000"/>
            </w:tcBorders>
            <w:tcMar>
              <w:top w:w="0" w:type="dxa"/>
              <w:left w:w="0" w:type="dxa"/>
              <w:right w:w="0" w:type="dxa"/>
            </w:tcMar>
            <w:vAlign w:val="center"/>
          </w:tcPr>
          <w:p>
            <w:pPr>
              <w:pStyle w:val="TableContents"/>
              <w:bidi w:val="0"/>
              <w:spacing w:before="0" w:after="283"/>
              <w:ind w:left="0" w:right="60" w:hanging="0"/>
              <w:jc w:val="right"/>
              <w:rPr>
                <w:color w:val="000000"/>
              </w:rPr>
            </w:pPr>
            <w:r>
              <w:rPr>
                <w:color w:val="000000"/>
              </w:rPr>
              <w:t> </w:t>
            </w:r>
            <w:r>
              <w:rPr>
                <w:rFonts w:ascii="sans-serif" w:hAnsi="sans-serif"/>
                <w:color w:val="000000"/>
                <w:sz w:val="20"/>
              </w:rPr>
              <w:t>358</w:t>
            </w:r>
          </w:p>
        </w:tc>
        <w:tc>
          <w:tcPr>
            <w:tcW w:w="14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3" w:type="dxa"/>
            <w:tcBorders>
              <w:bottom w:val="single" w:sz="4" w:space="0" w:color="000000"/>
            </w:tcBorders>
            <w:tcMar>
              <w:top w:w="0" w:type="dxa"/>
              <w:left w:w="0" w:type="dxa"/>
              <w:right w:w="0" w:type="dxa"/>
            </w:tcMar>
            <w:vAlign w:val="center"/>
          </w:tcPr>
          <w:p>
            <w:pPr>
              <w:pStyle w:val="TableContents"/>
              <w:bidi w:val="0"/>
              <w:spacing w:before="0" w:after="283"/>
              <w:ind w:left="0" w:right="60" w:hanging="0"/>
              <w:jc w:val="right"/>
              <w:rPr>
                <w:color w:val="000000"/>
              </w:rPr>
            </w:pPr>
            <w:r>
              <w:rPr>
                <w:color w:val="000000"/>
              </w:rPr>
              <w:t> </w:t>
            </w:r>
            <w:r>
              <w:rPr>
                <w:rFonts w:ascii="sans-serif" w:hAnsi="sans-serif"/>
                <w:color w:val="000000"/>
                <w:sz w:val="20"/>
              </w:rPr>
              <w:t>324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ind w:left="0" w:right="60" w:hanging="0"/>
              <w:jc w:val="right"/>
              <w:rPr>
                <w:color w:val="000000"/>
              </w:rPr>
            </w:pPr>
            <w:r>
              <w:rPr>
                <w:color w:val="000000"/>
              </w:rPr>
              <w:t> </w:t>
            </w:r>
            <w:r>
              <w:rPr>
                <w:rFonts w:ascii="sans-serif" w:hAnsi="sans-serif"/>
                <w:color w:val="000000"/>
                <w:sz w:val="20"/>
              </w:rPr>
              <w:t>11%</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b/>
                <w:color w:val="000000"/>
                <w:sz w:val="20"/>
              </w:rPr>
              <w:t>Total Revenue</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4" w:space="0" w:color="000000"/>
            </w:tcBorders>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853" w:type="dxa"/>
            <w:tcBorders>
              <w:bottom w:val="double" w:sz="4" w:space="0" w:color="000000"/>
            </w:tcBorders>
            <w:tcMar>
              <w:top w:w="0" w:type="dxa"/>
              <w:left w:w="0" w:type="dxa"/>
              <w:right w:w="0" w:type="dxa"/>
            </w:tcMar>
            <w:vAlign w:val="center"/>
          </w:tcPr>
          <w:p>
            <w:pPr>
              <w:pStyle w:val="TableContents"/>
              <w:bidi w:val="0"/>
              <w:spacing w:before="0" w:after="283"/>
              <w:ind w:left="0" w:right="60" w:hanging="0"/>
              <w:jc w:val="right"/>
              <w:rPr>
                <w:color w:val="000000"/>
              </w:rPr>
            </w:pPr>
            <w:r>
              <w:rPr>
                <w:color w:val="000000"/>
              </w:rPr>
              <w:t> </w:t>
            </w:r>
            <w:r>
              <w:rPr>
                <w:rFonts w:ascii="sans-serif" w:hAnsi="sans-serif"/>
                <w:b/>
                <w:color w:val="000000"/>
                <w:sz w:val="20"/>
              </w:rPr>
              <w:t>3,148</w:t>
            </w:r>
          </w:p>
        </w:tc>
        <w:tc>
          <w:tcPr>
            <w:tcW w:w="147"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4" w:space="0" w:color="000000"/>
            </w:tcBorders>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853" w:type="dxa"/>
            <w:tcBorders>
              <w:bottom w:val="double" w:sz="4" w:space="0" w:color="000000"/>
            </w:tcBorders>
            <w:tcMar>
              <w:top w:w="0" w:type="dxa"/>
              <w:left w:w="0" w:type="dxa"/>
              <w:right w:w="0" w:type="dxa"/>
            </w:tcMar>
            <w:vAlign w:val="center"/>
          </w:tcPr>
          <w:p>
            <w:pPr>
              <w:pStyle w:val="TableContents"/>
              <w:bidi w:val="0"/>
              <w:spacing w:before="0" w:after="283"/>
              <w:ind w:left="0" w:right="60" w:hanging="0"/>
              <w:jc w:val="right"/>
              <w:rPr>
                <w:color w:val="000000"/>
              </w:rPr>
            </w:pPr>
            <w:r>
              <w:rPr>
                <w:color w:val="000000"/>
              </w:rPr>
              <w:t> </w:t>
            </w:r>
            <w:r>
              <w:rPr>
                <w:rFonts w:ascii="sans-serif" w:hAnsi="sans-serif"/>
                <w:b/>
                <w:color w:val="000000"/>
                <w:sz w:val="20"/>
              </w:rPr>
              <w:t>2,438</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ind w:left="0" w:right="60" w:hanging="0"/>
              <w:jc w:val="right"/>
              <w:rPr>
                <w:color w:val="000000"/>
              </w:rPr>
            </w:pPr>
            <w:r>
              <w:rPr>
                <w:color w:val="000000"/>
              </w:rPr>
              <w:t> </w:t>
            </w:r>
            <w:r>
              <w:rPr>
                <w:rFonts w:ascii="sans-serif" w:hAnsi="sans-serif"/>
                <w:b/>
                <w:color w:val="000000"/>
                <w:sz w:val="20"/>
              </w:rPr>
              <w:t>29%</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85" w:type="dxa"/>
            <w:gridSpan w:val="5"/>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85"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 (Unaudited)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w:t>
            </w:r>
          </w:p>
        </w:tc>
      </w:tr>
      <w:tr>
        <w:trPr/>
        <w:tc>
          <w:tcPr>
            <w:tcW w:w="390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in millions)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Pharmacy Solutions segment EBITDA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before="0" w:after="283"/>
              <w:ind w:left="0" w:right="60" w:hanging="0"/>
              <w:jc w:val="right"/>
              <w:rPr>
                <w:color w:val="000000"/>
              </w:rPr>
            </w:pPr>
            <w:r>
              <w:rPr>
                <w:color w:val="000000"/>
              </w:rPr>
              <w:t> </w:t>
            </w:r>
            <w:r>
              <w:rPr>
                <w:rFonts w:ascii="sans-serif" w:hAnsi="sans-serif"/>
                <w:color w:val="000000"/>
                <w:sz w:val="20"/>
              </w:rPr>
              <w:t>125</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before="0" w:after="283"/>
              <w:ind w:left="0" w:right="60" w:hanging="0"/>
              <w:jc w:val="right"/>
              <w:rPr>
                <w:color w:val="000000"/>
              </w:rPr>
            </w:pPr>
            <w:r>
              <w:rPr>
                <w:color w:val="000000"/>
              </w:rPr>
              <w:t> </w:t>
            </w:r>
            <w:r>
              <w:rPr>
                <w:rFonts w:ascii="sans-serif" w:hAnsi="sans-serif"/>
                <w:color w:val="000000"/>
                <w:sz w:val="20"/>
              </w:rPr>
              <w:t>94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CEEFF" w:val="clear"/>
            <w:tcMar>
              <w:top w:w="0" w:type="dxa"/>
              <w:left w:w="0" w:type="dxa"/>
              <w:bottom w:w="0" w:type="dxa"/>
              <w:right w:w="0" w:type="dxa"/>
            </w:tcMar>
            <w:vAlign w:val="center"/>
          </w:tcPr>
          <w:p>
            <w:pPr>
              <w:pStyle w:val="TableContents"/>
              <w:bidi w:val="0"/>
              <w:spacing w:before="0" w:after="283"/>
              <w:ind w:left="0" w:right="60" w:hanging="0"/>
              <w:jc w:val="right"/>
              <w:rPr>
                <w:color w:val="000000"/>
              </w:rPr>
            </w:pPr>
            <w:r>
              <w:rPr>
                <w:color w:val="000000"/>
              </w:rPr>
              <w:t> </w:t>
            </w:r>
            <w:r>
              <w:rPr>
                <w:rFonts w:ascii="sans-serif" w:hAnsi="sans-serif"/>
                <w:color w:val="000000"/>
                <w:sz w:val="20"/>
              </w:rPr>
              <w:t>32%</w:t>
            </w:r>
          </w:p>
        </w:tc>
      </w:tr>
      <w:tr>
        <w:trPr/>
        <w:tc>
          <w:tcPr>
            <w:tcW w:w="390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Provider Services segment EBITDA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3" w:type="dxa"/>
            <w:tcBorders>
              <w:bottom w:val="single" w:sz="4" w:space="0" w:color="000000"/>
            </w:tcBorders>
            <w:tcMar>
              <w:top w:w="0" w:type="dxa"/>
              <w:left w:w="0" w:type="dxa"/>
              <w:right w:w="0" w:type="dxa"/>
            </w:tcMar>
            <w:vAlign w:val="center"/>
          </w:tcPr>
          <w:p>
            <w:pPr>
              <w:pStyle w:val="TableContents"/>
              <w:bidi w:val="0"/>
              <w:spacing w:before="0" w:after="283"/>
              <w:ind w:left="0" w:right="60" w:hanging="0"/>
              <w:jc w:val="right"/>
              <w:rPr>
                <w:color w:val="000000"/>
              </w:rPr>
            </w:pPr>
            <w:r>
              <w:rPr>
                <w:color w:val="000000"/>
              </w:rPr>
              <w:t> </w:t>
            </w:r>
            <w:r>
              <w:rPr>
                <w:rFonts w:ascii="sans-serif" w:hAnsi="sans-serif"/>
                <w:color w:val="000000"/>
                <w:sz w:val="20"/>
              </w:rPr>
              <w:t>56</w:t>
            </w:r>
          </w:p>
        </w:tc>
        <w:tc>
          <w:tcPr>
            <w:tcW w:w="14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tcBorders>
              <w:bottom w:val="single" w:sz="4" w:space="0" w:color="000000"/>
            </w:tcBorders>
            <w:tcMar>
              <w:top w:w="0" w:type="dxa"/>
              <w:left w:w="0" w:type="dxa"/>
              <w:right w:w="0" w:type="dxa"/>
            </w:tcMar>
            <w:vAlign w:val="center"/>
          </w:tcPr>
          <w:p>
            <w:pPr>
              <w:pStyle w:val="TableContents"/>
              <w:bidi w:val="0"/>
              <w:spacing w:before="0" w:after="283"/>
              <w:ind w:left="0" w:right="60" w:hanging="0"/>
              <w:jc w:val="right"/>
              <w:rPr>
                <w:color w:val="000000"/>
              </w:rPr>
            </w:pPr>
            <w:r>
              <w:rPr>
                <w:color w:val="000000"/>
              </w:rPr>
              <w:t> </w:t>
            </w:r>
            <w:r>
              <w:rPr>
                <w:rFonts w:ascii="sans-serif" w:hAnsi="sans-serif"/>
                <w:color w:val="000000"/>
                <w:sz w:val="20"/>
              </w:rPr>
              <w:t>51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tcMar>
              <w:top w:w="0" w:type="dxa"/>
              <w:left w:w="0" w:type="dxa"/>
              <w:right w:w="0" w:type="dxa"/>
            </w:tcMar>
            <w:vAlign w:val="center"/>
          </w:tcPr>
          <w:p>
            <w:pPr>
              <w:pStyle w:val="TableContents"/>
              <w:bidi w:val="0"/>
              <w:spacing w:before="0" w:after="283"/>
              <w:ind w:left="0" w:right="60" w:hanging="0"/>
              <w:jc w:val="right"/>
              <w:rPr>
                <w:color w:val="000000"/>
              </w:rPr>
            </w:pPr>
            <w:r>
              <w:rPr>
                <w:color w:val="000000"/>
              </w:rPr>
              <w:t> </w:t>
            </w:r>
            <w:r>
              <w:rPr>
                <w:rFonts w:ascii="sans-serif" w:hAnsi="sans-serif"/>
                <w:color w:val="000000"/>
                <w:sz w:val="20"/>
              </w:rPr>
              <w:t>11%</w:t>
            </w:r>
          </w:p>
        </w:tc>
      </w:tr>
      <w:tr>
        <w:trPr/>
        <w:tc>
          <w:tcPr>
            <w:tcW w:w="3901"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Segment Adjusted EBITDA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before="0" w:after="283"/>
              <w:ind w:left="0" w:right="60" w:hanging="0"/>
              <w:jc w:val="right"/>
              <w:rPr>
                <w:color w:val="000000"/>
              </w:rPr>
            </w:pPr>
            <w:r>
              <w:rPr>
                <w:color w:val="000000"/>
              </w:rPr>
              <w:t> </w:t>
            </w:r>
            <w:r>
              <w:rPr>
                <w:rFonts w:ascii="sans-serif" w:hAnsi="sans-serif"/>
                <w:color w:val="000000"/>
                <w:sz w:val="20"/>
              </w:rPr>
              <w:t>181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before="0" w:after="283"/>
              <w:ind w:left="0" w:right="60" w:hanging="0"/>
              <w:jc w:val="right"/>
              <w:rPr>
                <w:color w:val="000000"/>
              </w:rPr>
            </w:pPr>
            <w:r>
              <w:rPr>
                <w:color w:val="000000"/>
              </w:rPr>
              <w:t> </w:t>
            </w:r>
            <w:r>
              <w:rPr>
                <w:rFonts w:ascii="sans-serif" w:hAnsi="sans-serif"/>
                <w:color w:val="000000"/>
                <w:sz w:val="20"/>
              </w:rPr>
              <w:t>145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CEEFF" w:val="clear"/>
            <w:tcMar>
              <w:top w:w="0" w:type="dxa"/>
              <w:left w:w="0" w:type="dxa"/>
              <w:bottom w:w="0" w:type="dxa"/>
              <w:right w:w="0" w:type="dxa"/>
            </w:tcMar>
            <w:vAlign w:val="center"/>
          </w:tcPr>
          <w:p>
            <w:pPr>
              <w:pStyle w:val="TableContents"/>
              <w:bidi w:val="0"/>
              <w:spacing w:before="0" w:after="283"/>
              <w:ind w:left="0" w:right="60" w:hanging="0"/>
              <w:jc w:val="right"/>
              <w:rPr>
                <w:color w:val="000000"/>
              </w:rPr>
            </w:pPr>
            <w:r>
              <w:rPr>
                <w:color w:val="000000"/>
              </w:rPr>
              <w:t> </w:t>
            </w:r>
            <w:r>
              <w:rPr>
                <w:rFonts w:ascii="sans-serif" w:hAnsi="sans-serif"/>
                <w:color w:val="000000"/>
                <w:sz w:val="20"/>
              </w:rPr>
              <w:t>25%</w:t>
            </w:r>
          </w:p>
        </w:tc>
      </w:tr>
      <w:tr>
        <w:trPr/>
        <w:tc>
          <w:tcPr>
            <w:tcW w:w="390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Corporate Costs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tcMar>
              <w:top w:w="0" w:type="dxa"/>
              <w:left w:w="0" w:type="dxa"/>
              <w:right w:w="0" w:type="dxa"/>
            </w:tcMar>
            <w:vAlign w:val="center"/>
          </w:tcPr>
          <w:p>
            <w:pPr>
              <w:pStyle w:val="TableContents"/>
              <w:bidi w:val="0"/>
              <w:spacing w:before="0" w:after="283"/>
              <w:ind w:left="0" w:right="60" w:hanging="0"/>
              <w:jc w:val="right"/>
              <w:rPr>
                <w:rFonts w:ascii="sans-serif" w:hAnsi="sans-serif"/>
                <w:color w:val="000000"/>
                <w:sz w:val="20"/>
              </w:rPr>
            </w:pPr>
            <w:r>
              <w:rPr>
                <w:rFonts w:ascii="sans-serif" w:hAnsi="sans-serif"/>
                <w:color w:val="000000"/>
                <w:sz w:val="20"/>
              </w:rPr>
              <w:t>(38)</w:t>
            </w:r>
          </w:p>
        </w:tc>
        <w:tc>
          <w:tcPr>
            <w:tcW w:w="14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tcMar>
              <w:top w:w="0" w:type="dxa"/>
              <w:left w:w="0" w:type="dxa"/>
              <w:right w:w="0" w:type="dxa"/>
            </w:tcMar>
            <w:vAlign w:val="center"/>
          </w:tcPr>
          <w:p>
            <w:pPr>
              <w:pStyle w:val="TableContents"/>
              <w:bidi w:val="0"/>
              <w:spacing w:before="0" w:after="283"/>
              <w:ind w:left="0" w:right="60" w:hanging="0"/>
              <w:jc w:val="right"/>
              <w:rPr>
                <w:rFonts w:ascii="sans-serif" w:hAnsi="sans-serif"/>
                <w:color w:val="000000"/>
                <w:sz w:val="20"/>
              </w:rPr>
            </w:pPr>
            <w:r>
              <w:rPr>
                <w:rFonts w:ascii="sans-serif" w:hAnsi="sans-serif"/>
                <w:color w:val="000000"/>
                <w:sz w:val="20"/>
              </w:rPr>
              <w:t>(34)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tcMar>
              <w:top w:w="0" w:type="dxa"/>
              <w:left w:w="0" w:type="dxa"/>
              <w:right w:w="0" w:type="dxa"/>
            </w:tcMar>
            <w:vAlign w:val="center"/>
          </w:tcPr>
          <w:p>
            <w:pPr>
              <w:pStyle w:val="TableContents"/>
              <w:bidi w:val="0"/>
              <w:spacing w:before="0" w:after="283"/>
              <w:ind w:left="0" w:right="60" w:hanging="0"/>
              <w:jc w:val="right"/>
              <w:rPr>
                <w:rFonts w:ascii="sans-serif" w:hAnsi="sans-serif"/>
                <w:color w:val="000000"/>
                <w:sz w:val="20"/>
              </w:rPr>
            </w:pPr>
            <w:r>
              <w:rPr>
                <w:rFonts w:ascii="sans-serif" w:hAnsi="sans-serif"/>
                <w:color w:val="000000"/>
                <w:sz w:val="20"/>
              </w:rPr>
              <w:t>-</w:t>
            </w:r>
          </w:p>
        </w:tc>
      </w:tr>
      <w:tr>
        <w:trPr/>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b/>
                <w:color w:val="000000"/>
                <w:sz w:val="20"/>
              </w:rPr>
              <w:t>Total Company Adjusted EBITDA</w:t>
            </w:r>
            <w:r>
              <w:rPr>
                <w:rFonts w:ascii="sans-serif" w:hAnsi="sans-serif"/>
                <w:b/>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b/>
                <w:color w:val="000000"/>
                <w:sz w:val="20"/>
              </w:rPr>
              <w:t>$</w:t>
            </w:r>
            <w:r>
              <w:rPr>
                <w:rFonts w:ascii="Times New Roman" w:hAnsi="Times New Roman"/>
                <w:color w:val="000000"/>
                <w:sz w:val="20"/>
              </w:rPr>
              <w:t xml:space="preserve"> </w:t>
            </w:r>
          </w:p>
        </w:tc>
        <w:tc>
          <w:tcPr>
            <w:tcW w:w="853" w:type="dxa"/>
            <w:tcBorders>
              <w:bottom w:val="double" w:sz="4" w:space="0" w:color="000000"/>
            </w:tcBorders>
            <w:tcMar>
              <w:top w:w="0" w:type="dxa"/>
              <w:left w:w="0" w:type="dxa"/>
              <w:right w:w="0" w:type="dxa"/>
            </w:tcMar>
            <w:vAlign w:val="center"/>
          </w:tcPr>
          <w:p>
            <w:pPr>
              <w:pStyle w:val="TableContents"/>
              <w:bidi w:val="0"/>
              <w:spacing w:before="0" w:after="283"/>
              <w:ind w:left="0" w:right="60" w:hanging="0"/>
              <w:jc w:val="right"/>
              <w:rPr>
                <w:rFonts w:ascii="sans-serif" w:hAnsi="sans-serif"/>
                <w:b/>
                <w:color w:val="000000"/>
                <w:sz w:val="20"/>
              </w:rPr>
            </w:pPr>
            <w:r>
              <w:rPr>
                <w:rFonts w:ascii="sans-serif" w:hAnsi="sans-serif"/>
                <w:b/>
                <w:color w:val="000000"/>
                <w:sz w:val="20"/>
              </w:rPr>
              <w:t>143</w:t>
            </w:r>
          </w:p>
        </w:tc>
        <w:tc>
          <w:tcPr>
            <w:tcW w:w="147"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43"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853" w:type="dxa"/>
            <w:tcBorders>
              <w:bottom w:val="double" w:sz="4" w:space="0" w:color="000000"/>
            </w:tcBorders>
            <w:tcMar>
              <w:top w:w="0" w:type="dxa"/>
              <w:left w:w="0" w:type="dxa"/>
              <w:right w:w="0" w:type="dxa"/>
            </w:tcMar>
            <w:vAlign w:val="center"/>
          </w:tcPr>
          <w:p>
            <w:pPr>
              <w:pStyle w:val="TableContents"/>
              <w:bidi w:val="0"/>
              <w:spacing w:before="0" w:after="283"/>
              <w:ind w:left="0" w:right="60" w:hanging="0"/>
              <w:jc w:val="right"/>
              <w:rPr>
                <w:rFonts w:ascii="sans-serif" w:hAnsi="sans-serif"/>
                <w:b/>
                <w:color w:val="000000"/>
                <w:sz w:val="20"/>
              </w:rPr>
            </w:pPr>
            <w:r>
              <w:rPr>
                <w:rFonts w:ascii="sans-serif" w:hAnsi="sans-serif"/>
                <w:b/>
                <w:color w:val="000000"/>
                <w:sz w:val="20"/>
              </w:rPr>
              <w:t>111</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882" w:type="dxa"/>
            <w:gridSpan w:val="2"/>
            <w:tcBorders/>
            <w:tcMar>
              <w:top w:w="0" w:type="dxa"/>
              <w:left w:w="0" w:type="dxa"/>
              <w:bottom w:w="0" w:type="dxa"/>
              <w:right w:w="0" w:type="dxa"/>
            </w:tcMar>
            <w:vAlign w:val="center"/>
          </w:tcPr>
          <w:p>
            <w:pPr>
              <w:pStyle w:val="TableContents"/>
              <w:bidi w:val="0"/>
              <w:spacing w:before="0" w:after="283"/>
              <w:ind w:left="0" w:right="60" w:hanging="0"/>
              <w:jc w:val="right"/>
              <w:rPr>
                <w:rFonts w:ascii="sans-serif" w:hAnsi="sans-serif"/>
                <w:b/>
                <w:color w:val="000000"/>
                <w:sz w:val="20"/>
              </w:rPr>
            </w:pPr>
            <w:r>
              <w:rPr>
                <w:rFonts w:ascii="sans-serif" w:hAnsi="sans-serif"/>
                <w:b/>
                <w:color w:val="000000"/>
                <w:sz w:val="20"/>
              </w:rPr>
              <w:t>29%</w:t>
            </w:r>
          </w:p>
        </w:tc>
      </w:tr>
    </w:tbl>
    <w:p>
      <w:pPr>
        <w:pStyle w:val="TextBody"/>
        <w:bidi w:val="0"/>
        <w:jc w:val="both"/>
        <w:rPr/>
      </w:pPr>
      <w:r>
        <w:rPr/>
        <w:t> </w:t>
      </w:r>
    </w:p>
    <w:p>
      <w:pPr>
        <w:pStyle w:val="TextBody"/>
        <w:bidi w:val="0"/>
        <w:jc w:val="left"/>
        <w:rPr>
          <w:rFonts w:ascii="Times New Roman" w:hAnsi="Times New Roman"/>
          <w:sz w:val="20"/>
        </w:rPr>
      </w:pPr>
      <w:r>
        <w:rPr>
          <w:rFonts w:ascii="sans-serif" w:hAnsi="sans-serif"/>
          <w:color w:val="000000"/>
          <w:sz w:val="13"/>
        </w:rPr>
        <w:t>1</w:t>
      </w:r>
      <w:r>
        <w:rPr>
          <w:rFonts w:ascii="sans-serif" w:hAnsi="sans-serif"/>
          <w:color w:val="000000"/>
          <w:sz w:val="20"/>
        </w:rPr>
        <w:t>Adjusted EBITDA is a non-GAAP financial measure. Please see “Non-GAAP Financial Information” and the end of this press release for a reconciliation of Adjusted EBITDA to net income (loss) from continuing operations, the most directly comparable financial measure prepared in accordance with GAAP.</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Full Year 2025 Financial Guidance</w:t>
      </w:r>
    </w:p>
    <w:p>
      <w:pPr>
        <w:pStyle w:val="TextBody"/>
        <w:bidi w:val="0"/>
        <w:jc w:val="both"/>
        <w:rPr>
          <w:rFonts w:ascii="sans-serif" w:hAnsi="sans-serif"/>
          <w:color w:val="000000"/>
          <w:sz w:val="22"/>
        </w:rPr>
      </w:pPr>
      <w:r>
        <w:rPr>
          <w:rFonts w:ascii="sans-serif" w:hAnsi="sans-serif"/>
          <w:color w:val="000000"/>
          <w:sz w:val="22"/>
        </w:rPr>
        <w:t>For the full year 2025, BrightSpring is increasing guidance, which excludes the Community Living business and the effects of any future closed acquisitions. All growth rates are shown as compared to the full year 2024 Revenue and Adjusted EBTIDA results, excluding the Community Living business.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 xml:space="preserve">Net Revenue of $12,200 million to $12,600 million, or 21.1% to 25.1% growth. </w:t>
      </w:r>
    </w:p>
    <w:p>
      <w:pPr>
        <w:pStyle w:val="TextBody"/>
        <w:bidi w:val="0"/>
        <w:spacing w:before="0" w:after="0"/>
        <w:ind w:left="360" w:right="0" w:hanging="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 xml:space="preserve">Pharmacy Segment Revenue of $10,750 million to $11,100 million, or 22.8% to 26.8% growth. </w:t>
      </w:r>
    </w:p>
    <w:p>
      <w:pPr>
        <w:pStyle w:val="TextBody"/>
        <w:bidi w:val="0"/>
        <w:spacing w:before="0" w:after="0"/>
        <w:ind w:left="360" w:right="0" w:hanging="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 xml:space="preserve">Provider Segment Revenue of $1,450 million to $1,500 million, or 10.0% to 13.8% growth. </w:t>
      </w:r>
    </w:p>
    <w:p>
      <w:pPr>
        <w:pStyle w:val="TextBody"/>
        <w:bidi w:val="0"/>
        <w:spacing w:before="0" w:after="0"/>
        <w:jc w:val="left"/>
        <w:rPr>
          <w:color w:val="000000"/>
        </w:rPr>
      </w:pPr>
      <w:r>
        <w:rPr>
          <w:color w:val="000000"/>
        </w:rPr>
        <w:t>•</w:t>
      </w:r>
    </w:p>
    <w:p>
      <w:pPr>
        <w:pStyle w:val="TextBody"/>
        <w:bidi w:val="0"/>
        <w:jc w:val="left"/>
        <w:rPr/>
      </w:pPr>
      <w:r>
        <w:rPr>
          <w:rFonts w:ascii="sans-serif" w:hAnsi="sans-serif"/>
          <w:color w:val="000000"/>
          <w:sz w:val="22"/>
        </w:rPr>
        <w:t>Adjusted EBITDA</w:t>
      </w:r>
      <w:r>
        <w:rPr>
          <w:rFonts w:ascii="sans-serif" w:hAnsi="sans-serif"/>
          <w:color w:val="000000"/>
          <w:sz w:val="15"/>
        </w:rPr>
        <w:t>2</w:t>
      </w:r>
      <w:r>
        <w:rPr>
          <w:color w:val="000000"/>
        </w:rPr>
        <w:t xml:space="preserve"> </w:t>
      </w:r>
      <w:r>
        <w:rPr>
          <w:rFonts w:ascii="sans-serif" w:hAnsi="sans-serif"/>
          <w:color w:val="000000"/>
          <w:sz w:val="22"/>
        </w:rPr>
        <w:t xml:space="preserve">of $590 million to $605 million, or 28.2% to 31.5% growth.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 xml:space="preserve">A copy of the Company’s second quarter 2025 earnings presentation is available on the Company’s investor relations website, </w:t>
      </w:r>
      <w:r>
        <w:rPr>
          <w:rFonts w:ascii="sans-serif" w:hAnsi="sans-serif"/>
          <w:sz w:val="22"/>
        </w:rPr>
        <w:t>https://ir.brightspringhealth.com/</w:t>
      </w:r>
    </w:p>
    <w:p>
      <w:pPr>
        <w:pStyle w:val="TextBody"/>
        <w:bidi w:val="0"/>
        <w:jc w:val="both"/>
        <w:rPr/>
      </w:pPr>
      <w:r>
        <w:rPr/>
        <w:t> </w:t>
      </w:r>
    </w:p>
    <w:p>
      <w:pPr>
        <w:pStyle w:val="TextBody"/>
        <w:bidi w:val="0"/>
        <w:jc w:val="left"/>
        <w:rPr>
          <w:rFonts w:ascii="Times New Roman" w:hAnsi="Times New Roman"/>
          <w:sz w:val="20"/>
        </w:rPr>
      </w:pPr>
      <w:r>
        <w:rPr>
          <w:rFonts w:ascii="sans-serif" w:hAnsi="sans-serif"/>
          <w:color w:val="000000"/>
          <w:sz w:val="13"/>
        </w:rPr>
        <w:t>2</w:t>
      </w:r>
      <w:r>
        <w:rPr>
          <w:rFonts w:ascii="sans-serif" w:hAnsi="sans-serif"/>
          <w:color w:val="000000"/>
          <w:sz w:val="20"/>
        </w:rPr>
        <w:t>A reconciliation of the foregoing guidance for the non-GAAP metric of Adjusted EBITDA to GAAP net income (loss) from continuing operations cannot be provided without unreasonable effort because of the inherent difficulty of accurately forecasting the occurrence and financial impact of the various adjusting items necessary for such reconciliation that have not yet occurred, are out of our control, or cannot be reasonably predicted. For the same reasons, the Company is unable to assess the probable significance of the unavailable information, which could have a material impact on its future GAAP financial results.</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jc w:val="both"/>
        <w:rPr>
          <w:rFonts w:ascii="sans-serif" w:hAnsi="sans-serif"/>
          <w:b/>
          <w:color w:val="000000"/>
          <w:sz w:val="22"/>
        </w:rPr>
      </w:pPr>
      <w:r>
        <w:rPr>
          <w:rFonts w:ascii="sans-serif" w:hAnsi="sans-serif"/>
          <w:b/>
          <w:color w:val="000000"/>
          <w:sz w:val="22"/>
        </w:rPr>
        <w:t>Webcast and Conference Call Details</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BrightSpring will host a conference call today, August 1, 2025, at 8:30 a.m. Eastern Time. Investors interested in listening to the conference call are required to register online.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 xml:space="preserve">A live and archived webcast of the event will be available on the “Events &amp; Presentations” section of the BrightSpring website at </w:t>
      </w:r>
      <w:r>
        <w:rPr>
          <w:rFonts w:ascii="sans-serif" w:hAnsi="sans-serif"/>
          <w:sz w:val="22"/>
        </w:rPr>
        <w:t>https://ir.brightspringhealth.com/</w:t>
      </w:r>
      <w:r>
        <w:rPr>
          <w:rFonts w:ascii="sans-serif" w:hAnsi="sans-serif"/>
          <w:color w:val="000000"/>
          <w:sz w:val="22"/>
        </w:rPr>
        <w:t>. The Company has posted supplemental financial information on the second quarter 2025 results that it will reference during the conference call. The supplemental information can be found under the “Events &amp; Presentations” on the Company’s investor relations page.</w:t>
      </w:r>
    </w:p>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2"/>
        </w:rPr>
        <w:t>About BrightSpring Health Services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BrightSpring Health Services provides complementary home- and community-based pharmacy and provider health solutions for complex populations in need of specialized and/or chronic care. Through the Company’s service lines, including pharmacy, home health care and primary care, and rehabilitation and behavioral health, we provide comprehensive and more integrated care and clinical solutions in all 50 states to over 460,000 customers, clients and patients daily. BrightSpring has consistently demonstrated strong and often industry-leading quality metrics across its services lines while improving the quality of life and health for high-need individuals and reducing overall costs to the healthcare system.</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Forward-Looking Statements</w:t>
      </w:r>
    </w:p>
    <w:p>
      <w:pPr>
        <w:pStyle w:val="TextBody"/>
        <w:bidi w:val="0"/>
        <w:jc w:val="both"/>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This press release contains “forward-looking statements” within the meaning of the Private Securities Litigation Reform Act of 1995. These forward-looking statements reflect our current views with respect to, among other things, our operations and financial performance. Forward-looking statements include all statements that are not historical facts. These forward-looking statements may relate to matters which include, but are not limited to, industries, business strategy, goals and expectations concerning our market position, future operations, margins, profitability, capital expenditures, liquidity and capital resources and other financial and operating information. In some cases, we have used words such as “anticipate,” “assume,” “believe,” “continue,” “could,” “estimate,” “expect,” “intend,” “may,” “plan,” “potential,” “predict,” “project,” “future,” “will,” “seek,” “foreseeable,” “target,” “guidance,” the negative version of these words, or similar terms and phrases to identify these forward-looking statements.</w:t>
      </w:r>
    </w:p>
    <w:p>
      <w:pPr>
        <w:pStyle w:val="TextBody"/>
        <w:bidi w:val="0"/>
        <w:spacing w:before="0" w:after="240"/>
        <w:jc w:val="both"/>
        <w:rPr>
          <w:rFonts w:ascii="sans-serif" w:hAnsi="sans-serif"/>
          <w:color w:val="000000"/>
          <w:sz w:val="22"/>
        </w:rPr>
      </w:pPr>
      <w:r>
        <w:rPr>
          <w:rFonts w:ascii="sans-serif" w:hAnsi="sans-serif"/>
          <w:color w:val="000000"/>
          <w:sz w:val="22"/>
        </w:rPr>
        <w:t>The forward-looking statements are based on management’s current expectations and are not historical facts or guarantees of future performance. The forward-looking statements relate to the future and are therefore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the following:</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our operation in a highly competitive industry;</w:t>
      </w:r>
    </w:p>
    <w:p>
      <w:pPr>
        <w:pStyle w:val="TextBody"/>
        <w:bidi w:val="0"/>
        <w:spacing w:before="0" w:after="0"/>
        <w:ind w:left="360" w:right="0" w:hanging="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our inability to maintain relationships with existing patient referral sources or establish new referral sources;</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changes to Medicare and Medicaid rates or methods governing Medicare and Medicaid payments for our services;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cost containment initiatives of third-party payors, including post-payment audits;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the implementation of alternative payment models and the transition of Medicaid and Medicare beneficiaries to managed care organizations may limit our market share and could adversely affect our revenues;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changes in the case mix of patients, as well as payor mix and payment methodologies, and decisions and operations of third-party organizations;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our reliance on federal and state spending, budget decisions, and continuous governmental operations which may fluctuate under different political conditions;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changes in drug utilization and/or pricing, PBM contracts, and Medicare Part D/Medicaid reimbursement, which may negatively impact our profitability;</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changes in our relationships with pharmaceutical suppliers, including changes in drug availability or pricing;</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reliance on the continual recruitment and retention of nurses, pharmacists, therapists, caregivers, direct support professionals, and other qualified personnel, including senior management;</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compliance with or changes to federal, state, and local laws and regulations that govern our employment practices, including minimum wage, living wage, and paid time-off requirements;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fluctuation of our results of operations on a quarterly basis;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harm caused by labor relation matters;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limitations in our ability to control reimbursement rates received for our services if we are unable to maintain or reduce our costs to provide such services;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delays in collection or non-collection of our accounts receivable, particularly during the business integration process;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failure to manage our growth effectively, which may inhibit our ability to execute our business plan, maintain high levels of service and satisfaction or adequately address competitive challenges;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our ability to identify, successfully complete and manage acquisitions, joint ventures, and other strategic initiatives, including the pending sale of our Community Living business;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our ability to continue to provide consistently high quality of care;</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maintenance of our corporate reputation or the emergence of adverse publicity, including negative information on social media or changes in public perception of our services;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contract continuance, expansion and renewal with our existing customers, including renewals at lower fee levels, customers declining to purchase additional services from us, or reduction in the services received from us pursuant to those contracts;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effective investment in, implementation of improvements to and proper maintenance of the uninterrupted operation and data integrity of our information technology and other business systems;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security breaches, loss of data, and other disruptions, which could compromise sensitive business or patient information; cause a loss of confidential patient data, employee data or personal information; or prevent access to critical information and thereby expose us to liability, litigation, and federal and state governmental inquiries and damage our reputation and brand;</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risks related to credit card payments and other payment methods;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potential substantial malpractice or other similar claims;</w:t>
      </w:r>
    </w:p>
    <w:p>
      <w:pPr>
        <w:pStyle w:val="TextBody"/>
        <w:bidi w:val="0"/>
        <w:spacing w:before="0" w:after="0"/>
        <w:ind w:left="360" w:right="0" w:hanging="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various risks related to governmental inquiries, regulatory actions, and whistleblower and other lawsuits, which may not be entirely covered by insurance;</w:t>
      </w: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our current insurance program, which may expose us to unexpected costs, particularly if we incur losses not covered by our insurance or if claims or losses differ from our estimates;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factors outside of our control, including those listed, which have required and could in the future require us to record an asset impairment of goodwill;</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a pandemic, epidemic, or outbreak of an infectious disease;</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 xml:space="preserve">inclement weather, natural disasters, acts of terrorism, riots, civil insurrection or social unrest, looting, protests, strikes, or street demonstrations;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our inability to adequately protect our intellectual property rights;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risks related to our compliance with our regulatory framework;</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the interests of KKR Stockholder may conflict with our stockholders’ interests in the future;</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 xml:space="preserve">our substantial indebtedness; and </w:t>
      </w:r>
    </w:p>
    <w:p>
      <w:pPr>
        <w:pStyle w:val="TextBody"/>
        <w:bidi w:val="0"/>
        <w:spacing w:before="0" w:after="0"/>
        <w:ind w:left="360" w:right="0" w:hanging="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significant changes in tax or trade policies, tariffs, or trade relations between the United States and other countries, such as the imposition of unilateral tariffs on imported products, including impacts on imported drug products, which could result in supply chain disruptions and significant increases in costs.</w:t>
      </w:r>
    </w:p>
    <w:p>
      <w:pPr>
        <w:pStyle w:val="TextBody"/>
        <w:bidi w:val="0"/>
        <w:spacing w:before="0" w:after="240"/>
        <w:jc w:val="both"/>
        <w:rPr>
          <w:rFonts w:ascii="sans-serif" w:hAnsi="sans-serif"/>
          <w:color w:val="000000"/>
          <w:sz w:val="22"/>
        </w:rPr>
      </w:pPr>
      <w:r>
        <w:rPr>
          <w:rFonts w:ascii="sans-serif" w:hAnsi="sans-serif"/>
          <w:color w:val="000000"/>
          <w:sz w:val="22"/>
        </w:rPr>
        <w:t>The forward-looking statements included in this press release are made only as of the date of this press release, and we undertake no obligation to publicly update or revise any forward-looking statement, whether as a result of new information, future developments, or otherwise, except as required by law. These factors should not be construed as exhaustive, and should one or more of these risks or uncertainties materialize, or should any of our assumptions prove incorrect, our actual results may vary in material respects from those projected in these forward-looking statements.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 looking statements do not reflect the potential impact of any future acquisitions, mergers, dispositions, joint ventures, investments, or other strategic transactions we may make.</w:t>
      </w:r>
    </w:p>
    <w:p>
      <w:pPr>
        <w:pStyle w:val="TextBody"/>
        <w:bidi w:val="0"/>
        <w:spacing w:before="0" w:after="240"/>
        <w:jc w:val="both"/>
        <w:rPr>
          <w:rFonts w:ascii="Times New Roman" w:hAnsi="Times New Roman"/>
          <w:sz w:val="20"/>
        </w:rPr>
      </w:pPr>
      <w:r>
        <w:rPr>
          <w:rFonts w:ascii="sans-serif" w:hAnsi="sans-serif"/>
          <w:color w:val="000000"/>
          <w:sz w:val="22"/>
        </w:rPr>
        <w:t xml:space="preserve">For additional information on these and other factors that could cause BrightSpring’s actual results to differ materially from expected results, please see our filings with the Securities and Exchange Commission (the “SEC”), which are accessible on the SEC’s website at </w:t>
      </w:r>
      <w:r>
        <w:rPr>
          <w:rFonts w:ascii="sans-serif" w:hAnsi="sans-serif"/>
          <w:sz w:val="22"/>
        </w:rPr>
        <w:t>www.sec.gov</w:t>
      </w:r>
      <w:r>
        <w:rPr>
          <w:rFonts w:ascii="sans-serif" w:hAnsi="sans-serif"/>
          <w:color w:val="000000"/>
          <w:sz w:val="22"/>
        </w:rPr>
        <w:t>.</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Non-GAAP Financial Measures</w:t>
      </w:r>
    </w:p>
    <w:p>
      <w:pPr>
        <w:pStyle w:val="TextBody"/>
        <w:bidi w:val="0"/>
        <w:jc w:val="both"/>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This press release contains “non-GAAP financial measures,” including “EBITDA” and “Adjusted EBITDA,” which are financial measures that either exclude or include amounts that are not excluded or included in the most directly comparable measures calculated and presented in accordance with accounting principles generally accepted in the United States, or GAAP.</w:t>
      </w:r>
    </w:p>
    <w:p>
      <w:pPr>
        <w:pStyle w:val="TextBody"/>
        <w:bidi w:val="0"/>
        <w:spacing w:before="0" w:after="240"/>
        <w:jc w:val="both"/>
        <w:rPr>
          <w:rFonts w:ascii="Times New Roman" w:hAnsi="Times New Roman"/>
          <w:sz w:val="20"/>
        </w:rPr>
      </w:pPr>
      <w:r>
        <w:rPr>
          <w:rFonts w:ascii="sans-serif" w:hAnsi="sans-serif"/>
          <w:color w:val="000000"/>
          <w:sz w:val="22"/>
        </w:rPr>
        <w:t>EBITDA and Adjusted EBITDA have been presented in this release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also believes that these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EBITDA and Adjusted EBITDA to supplement GAAP measures of performance in the evaluation of the effectiveness of our business strategies, to make budgeting</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5</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decisions, to establish and award discretionary annual incentive compensation, and to compare our performance against that of other peer companies using similar measures.</w:t>
      </w:r>
    </w:p>
    <w:p>
      <w:pPr>
        <w:pStyle w:val="TextBody"/>
        <w:bidi w:val="0"/>
        <w:spacing w:before="0" w:after="240"/>
        <w:jc w:val="both"/>
        <w:rPr>
          <w:rFonts w:ascii="sans-serif" w:hAnsi="sans-serif"/>
          <w:color w:val="000000"/>
          <w:sz w:val="22"/>
        </w:rPr>
      </w:pPr>
      <w:r>
        <w:rPr>
          <w:rFonts w:ascii="sans-serif" w:hAnsi="sans-serif"/>
          <w:color w:val="000000"/>
          <w:sz w:val="22"/>
        </w:rPr>
        <w:t>Management supplements GAAP results with non-GAAP financial measures to provide a more complete understanding of the factors and trends affecting the business than GAAP results alone. EBITDA and Adjusted EBITDA are not GAAP measures of our financial performance and should not be considered as an alternative to net income (loss) as a measure of financial performance or any other performance measures derived in accordance with GAAP. Additionally, these measures are not intended to be a measure of free cash flow available for management’s discretionary use as they do not consider certain cash requirements such as tax payments, debt service requirements, total capital expenditures, and certain other cash costs that may recur in the future.</w:t>
      </w:r>
    </w:p>
    <w:p>
      <w:pPr>
        <w:pStyle w:val="TextBody"/>
        <w:bidi w:val="0"/>
        <w:spacing w:before="0" w:after="240"/>
        <w:jc w:val="both"/>
        <w:rPr>
          <w:rFonts w:ascii="sans-serif" w:hAnsi="sans-serif"/>
          <w:color w:val="000000"/>
          <w:sz w:val="22"/>
        </w:rPr>
      </w:pPr>
      <w:r>
        <w:rPr>
          <w:rFonts w:ascii="sans-serif" w:hAnsi="sans-serif"/>
          <w:color w:val="000000"/>
          <w:sz w:val="22"/>
        </w:rPr>
        <w:t>Management defines EBITDA as net income (loss) from continuing operations before income tax expense (benefit), interest expense, net and depreciation and amortization. Management also defines Adjusted EBITDA as EBITDA, further adjusted to exclude non-cash share-based compensation, acquisition, integration and transaction-related costs, restructuring and divestiture-related and other costs, legal costs and settlements associated with certain historical matters for PharMerica, significant projects, and management fees.</w:t>
      </w:r>
    </w:p>
    <w:p>
      <w:pPr>
        <w:pStyle w:val="TextBody"/>
        <w:bidi w:val="0"/>
        <w:jc w:val="both"/>
        <w:rPr>
          <w:rFonts w:ascii="sans-serif" w:hAnsi="sans-serif"/>
          <w:color w:val="000000"/>
          <w:sz w:val="22"/>
        </w:rPr>
      </w:pPr>
      <w:r>
        <w:rPr>
          <w:rFonts w:ascii="sans-serif" w:hAnsi="sans-serif"/>
          <w:color w:val="000000"/>
          <w:sz w:val="22"/>
        </w:rPr>
        <w:t>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Please see the end of this press release for reconciliations of non-GAAP financial measures to the most directly comparable financial measure prepared in accordance with GAAP.</w:t>
      </w:r>
    </w:p>
    <w:p>
      <w:pPr>
        <w:pStyle w:val="TextBody"/>
        <w:bidi w:val="0"/>
        <w:jc w:val="both"/>
        <w:rPr/>
      </w:pPr>
      <w:r>
        <w:rPr/>
        <w:t> </w:t>
      </w:r>
    </w:p>
    <w:p>
      <w:pPr>
        <w:pStyle w:val="TextBody"/>
        <w:bidi w:val="0"/>
        <w:jc w:val="left"/>
        <w:rPr>
          <w:rFonts w:ascii="sans-serif" w:hAnsi="sans-serif"/>
          <w:b/>
          <w:color w:val="000000"/>
          <w:sz w:val="22"/>
        </w:rPr>
      </w:pPr>
      <w:r>
        <w:rPr>
          <w:rFonts w:ascii="sans-serif" w:hAnsi="sans-serif"/>
          <w:b/>
          <w:color w:val="000000"/>
          <w:sz w:val="22"/>
        </w:rPr>
        <w:t>BrightSpring Contact:</w:t>
      </w:r>
    </w:p>
    <w:p>
      <w:pPr>
        <w:pStyle w:val="TextBody"/>
        <w:bidi w:val="0"/>
        <w:jc w:val="left"/>
        <w:rPr/>
      </w:pPr>
      <w:r>
        <w:rPr/>
        <w:t> </w:t>
      </w:r>
    </w:p>
    <w:p>
      <w:pPr>
        <w:pStyle w:val="TextBody"/>
        <w:bidi w:val="0"/>
        <w:jc w:val="left"/>
        <w:rPr>
          <w:rFonts w:ascii="sans-serif" w:hAnsi="sans-serif"/>
          <w:b/>
          <w:i/>
          <w:color w:val="000000"/>
          <w:sz w:val="22"/>
        </w:rPr>
      </w:pPr>
      <w:r>
        <w:rPr>
          <w:rFonts w:ascii="sans-serif" w:hAnsi="sans-serif"/>
          <w:b/>
          <w:i/>
          <w:color w:val="000000"/>
          <w:sz w:val="22"/>
        </w:rPr>
        <w:t>Investor Relations:</w:t>
      </w:r>
    </w:p>
    <w:p>
      <w:pPr>
        <w:pStyle w:val="TextBody"/>
        <w:bidi w:val="0"/>
        <w:jc w:val="left"/>
        <w:rPr>
          <w:rFonts w:ascii="sans-serif" w:hAnsi="sans-serif"/>
          <w:i/>
          <w:color w:val="000000"/>
          <w:sz w:val="22"/>
        </w:rPr>
      </w:pPr>
      <w:r>
        <w:rPr>
          <w:rFonts w:ascii="sans-serif" w:hAnsi="sans-serif"/>
          <w:i/>
          <w:color w:val="000000"/>
          <w:sz w:val="22"/>
        </w:rPr>
        <w:t>David Deuchler, CFA</w:t>
      </w:r>
    </w:p>
    <w:p>
      <w:pPr>
        <w:pStyle w:val="TextBody"/>
        <w:bidi w:val="0"/>
        <w:jc w:val="left"/>
        <w:rPr>
          <w:rFonts w:ascii="sans-serif" w:hAnsi="sans-serif"/>
          <w:i/>
          <w:color w:val="000000"/>
          <w:sz w:val="22"/>
        </w:rPr>
      </w:pPr>
      <w:r>
        <w:rPr>
          <w:rFonts w:ascii="sans-serif" w:hAnsi="sans-serif"/>
          <w:i/>
          <w:color w:val="000000"/>
          <w:sz w:val="22"/>
        </w:rPr>
        <w:t>Gilmartin Group LLC</w:t>
      </w:r>
    </w:p>
    <w:p>
      <w:pPr>
        <w:pStyle w:val="TextBody"/>
        <w:bidi w:val="0"/>
        <w:jc w:val="left"/>
        <w:rPr>
          <w:rFonts w:ascii="sans-serif" w:hAnsi="sans-serif"/>
          <w:i/>
          <w:color w:val="000000"/>
          <w:sz w:val="22"/>
        </w:rPr>
      </w:pPr>
      <w:r>
        <w:rPr>
          <w:rFonts w:ascii="sans-serif" w:hAnsi="sans-serif"/>
          <w:i/>
          <w:color w:val="000000"/>
          <w:sz w:val="22"/>
        </w:rPr>
        <w:t>ir@brightspringhealth.com</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2"/>
        </w:rPr>
        <w:t>Media Contact:</w:t>
        <w:br/>
      </w:r>
      <w:r>
        <w:rPr>
          <w:rFonts w:ascii="sans-serif" w:hAnsi="sans-serif"/>
          <w:i/>
          <w:color w:val="000000"/>
          <w:sz w:val="22"/>
        </w:rPr>
        <w:t>Leigh White</w:t>
        <w:br/>
        <w:t>leigh.white@brightspringhealth.com</w:t>
        <w:br/>
        <w:t>502.630.7412</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6</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BrightSpring Health Services, Inc. and Subsidiaries</w:t>
      </w:r>
    </w:p>
    <w:p>
      <w:pPr>
        <w:pStyle w:val="TextBody"/>
        <w:bidi w:val="0"/>
        <w:jc w:val="center"/>
        <w:rPr>
          <w:rFonts w:ascii="Times New Roman" w:hAnsi="Times New Roman"/>
          <w:b/>
          <w:color w:val="231F20"/>
          <w:sz w:val="20"/>
        </w:rPr>
      </w:pPr>
      <w:r>
        <w:rPr>
          <w:rFonts w:ascii="Times New Roman" w:hAnsi="Times New Roman"/>
          <w:b/>
          <w:color w:val="231F20"/>
          <w:sz w:val="20"/>
        </w:rPr>
        <w:t>Consolidated Balance Sheets</w:t>
      </w:r>
    </w:p>
    <w:p>
      <w:pPr>
        <w:pStyle w:val="TextBody"/>
        <w:bidi w:val="0"/>
        <w:jc w:val="center"/>
        <w:rPr>
          <w:rFonts w:ascii="Times New Roman" w:hAnsi="Times New Roman"/>
          <w:b/>
          <w:color w:val="231F20"/>
          <w:sz w:val="20"/>
        </w:rPr>
      </w:pPr>
      <w:r>
        <w:rPr>
          <w:rFonts w:ascii="Times New Roman" w:hAnsi="Times New Roman"/>
          <w:b/>
          <w:color w:val="231F20"/>
          <w:sz w:val="20"/>
        </w:rPr>
        <w:t>June 30, 2025 and December 31, 2024</w:t>
      </w:r>
    </w:p>
    <w:p>
      <w:pPr>
        <w:pStyle w:val="TextBody"/>
        <w:bidi w:val="0"/>
        <w:jc w:val="center"/>
        <w:rPr>
          <w:rFonts w:ascii="Times New Roman" w:hAnsi="Times New Roman"/>
          <w:i/>
          <w:color w:val="231F20"/>
          <w:sz w:val="20"/>
        </w:rPr>
      </w:pPr>
      <w:r>
        <w:rPr>
          <w:rFonts w:ascii="Times New Roman" w:hAnsi="Times New Roman"/>
          <w:i/>
          <w:color w:val="231F20"/>
          <w:sz w:val="20"/>
        </w:rPr>
        <w:t>(In thousands, except share and per share data)</w:t>
      </w:r>
    </w:p>
    <w:p>
      <w:pPr>
        <w:pStyle w:val="TextBody"/>
        <w:bidi w:val="0"/>
        <w:jc w:val="center"/>
        <w:rPr>
          <w:rFonts w:ascii="Times New Roman" w:hAnsi="Times New Roman"/>
          <w:i/>
          <w:color w:val="231F20"/>
          <w:sz w:val="20"/>
        </w:rPr>
      </w:pPr>
      <w:r>
        <w:rPr>
          <w:rFonts w:ascii="Times New Roman" w:hAnsi="Times New Roman"/>
          <w:i/>
          <w:color w:val="231F2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87"/>
        <w:gridCol w:w="146"/>
        <w:gridCol w:w="211"/>
        <w:gridCol w:w="931"/>
        <w:gridCol w:w="166"/>
        <w:gridCol w:w="146"/>
        <w:gridCol w:w="263"/>
        <w:gridCol w:w="1163"/>
        <w:gridCol w:w="992"/>
      </w:tblGrid>
      <w:tr>
        <w:trPr/>
        <w:tc>
          <w:tcPr>
            <w:tcW w:w="61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6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8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60,954</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Accounts receivable, net of 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972,721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902,782</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625,465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636,561</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129,248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161,310</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Current assets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850,455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131,447</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187"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b/>
                <w:color w:val="000000"/>
                <w:sz w:val="19"/>
              </w:rPr>
            </w:pPr>
            <w:r>
              <w:rPr>
                <w:rFonts w:ascii="Times New Roman" w:hAnsi="Times New Roman"/>
                <w:b/>
                <w:color w:val="000000"/>
                <w:sz w:val="19"/>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2,647,959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1,893,054</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 xml:space="preserve">Property and equipment, net of accumulated depreciation of $372,236 and $339,892 at </w:t>
              <w:br/>
              <w:t>    June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177,582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180,570</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2,370,134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2,363,884</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Intangible assets, net of 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544,337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595,224</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164,095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161,032</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Deferred income taxes,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5,288</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39,128</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Non-current assets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687,960</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187"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b/>
                <w:color w:val="000000"/>
                <w:sz w:val="19"/>
              </w:rPr>
            </w:pPr>
            <w:r>
              <w:rPr>
                <w:rFonts w:ascii="Times New Roman" w:hAnsi="Times New Roman"/>
                <w:b/>
                <w:color w:val="000000"/>
                <w:sz w:val="19"/>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5,943,597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5,926,140</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Liabilities, Redeemable Noncontrolling Interest,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8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Trade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965,302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923,926</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252,828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295,746</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Current portion of obligations under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38,910</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Current portion of obligations under financing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3,463</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48,725</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Current liabilities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194,035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117,563</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187"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b/>
                <w:color w:val="000000"/>
                <w:sz w:val="19"/>
              </w:rPr>
            </w:pPr>
            <w:r>
              <w:rPr>
                <w:rFonts w:ascii="Times New Roman" w:hAnsi="Times New Roman"/>
                <w:b/>
                <w:color w:val="000000"/>
                <w:sz w:val="19"/>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1,505,365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1,428,333</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Obligations under operating leases,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132,547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129,467</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Obligations under financing leases,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6,530</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Long-term debt,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2,477,917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2,561,858</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71,190</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Non-current liabilities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77,177</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187"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b/>
                <w:color w:val="000000"/>
                <w:sz w:val="19"/>
              </w:rPr>
            </w:pPr>
            <w:r>
              <w:rPr>
                <w:rFonts w:ascii="Times New Roman" w:hAnsi="Times New Roman"/>
                <w:b/>
                <w:color w:val="000000"/>
                <w:sz w:val="19"/>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4,198,174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4,274,555</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Redeemable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3,730</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8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 xml:space="preserve">Common stock, $0.01 par value, 1,500,000,000 shares authorized, 177,055,327 </w:t>
              <w:br/>
              <w:t xml:space="preserve">   and 174,245,990 shares issued and outstanding at June 30, 2025 and </w:t>
              <w:br/>
              <w:t>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1,742</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 xml:space="preserve">Preferred stock, $0.01 par value, 250,000,000 authorized, no shares issued and </w:t>
              <w:br/>
              <w:t>   outstanding at June 30,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1,909,854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1,866,850</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(164,405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(222,155</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18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1,418</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87"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1,742,890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1,647,855</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8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187"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b/>
                <w:color w:val="000000"/>
                <w:sz w:val="19"/>
              </w:rPr>
            </w:pPr>
            <w:r>
              <w:rPr>
                <w:rFonts w:ascii="Times New Roman" w:hAnsi="Times New Roman"/>
                <w:b/>
                <w:color w:val="000000"/>
                <w:sz w:val="19"/>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1,742,607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1,647,855</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187" w:type="dxa"/>
            <w:tcBorders/>
            <w:shd w:fill="FFFFFF" w:val="clear"/>
            <w:tcMar>
              <w:top w:w="0" w:type="dxa"/>
              <w:left w:w="0" w:type="dxa"/>
              <w:bottom w:w="0" w:type="dxa"/>
              <w:right w:w="0" w:type="dxa"/>
            </w:tcMar>
            <w:vAlign w:val="center"/>
          </w:tcPr>
          <w:p>
            <w:pPr>
              <w:pStyle w:val="TableContents"/>
              <w:bidi w:val="0"/>
              <w:spacing w:before="0" w:after="283"/>
              <w:ind w:left="800" w:right="0" w:firstLine="800"/>
              <w:jc w:val="left"/>
              <w:rPr>
                <w:rFonts w:ascii="Times New Roman" w:hAnsi="Times New Roman"/>
                <w:b/>
                <w:color w:val="000000"/>
                <w:sz w:val="19"/>
              </w:rPr>
            </w:pPr>
            <w:r>
              <w:rPr>
                <w:rFonts w:ascii="Times New Roman" w:hAnsi="Times New Roman"/>
                <w:b/>
                <w:color w:val="000000"/>
                <w:sz w:val="19"/>
              </w:rPr>
              <w:t>Total liabilities, redeemable noncontrolling interest,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5,943,597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5,926,140</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7</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BrightSpring Health Services,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For the three and six months ended June 30, 2025 and 2024</w:t>
      </w:r>
    </w:p>
    <w:p>
      <w:pPr>
        <w:pStyle w:val="TextBody"/>
        <w:bidi w:val="0"/>
        <w:jc w:val="center"/>
        <w:rPr>
          <w:rFonts w:ascii="Times New Roman" w:hAnsi="Times New Roman"/>
          <w:i/>
          <w:color w:val="231F20"/>
          <w:sz w:val="20"/>
        </w:rPr>
      </w:pPr>
      <w:r>
        <w:rPr>
          <w:rFonts w:ascii="Times New Roman" w:hAnsi="Times New Roman"/>
          <w:i/>
          <w:color w:val="231F20"/>
          <w:sz w:val="20"/>
        </w:rPr>
        <w:t>(In thousands, except per share amounts)</w:t>
      </w:r>
    </w:p>
    <w:p>
      <w:pPr>
        <w:pStyle w:val="TextBody"/>
        <w:bidi w:val="0"/>
        <w:jc w:val="center"/>
        <w:rPr>
          <w:rFonts w:ascii="Times New Roman" w:hAnsi="Times New Roman"/>
          <w:i/>
          <w:color w:val="231F20"/>
          <w:sz w:val="20"/>
        </w:rPr>
      </w:pPr>
      <w:r>
        <w:rPr>
          <w:rFonts w:ascii="Times New Roman" w:hAnsi="Times New Roman"/>
          <w:i/>
          <w:color w:val="231F2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944"/>
        <w:gridCol w:w="146"/>
        <w:gridCol w:w="211"/>
        <w:gridCol w:w="931"/>
        <w:gridCol w:w="166"/>
        <w:gridCol w:w="146"/>
        <w:gridCol w:w="211"/>
        <w:gridCol w:w="931"/>
        <w:gridCol w:w="166"/>
        <w:gridCol w:w="146"/>
        <w:gridCol w:w="211"/>
        <w:gridCol w:w="931"/>
        <w:gridCol w:w="166"/>
        <w:gridCol w:w="146"/>
        <w:gridCol w:w="211"/>
        <w:gridCol w:w="931"/>
        <w:gridCol w:w="611"/>
      </w:tblGrid>
      <w:tr>
        <w:trPr/>
        <w:tc>
          <w:tcPr>
            <w:tcW w:w="3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5,322,272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4,091,526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703,555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632,494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6,025,827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4,724,020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4,884,617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3,738,860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427,989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380,493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604,667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581,349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48,557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99,296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23,318</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97,752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continuing operations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(87,160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(39,619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continuing operations, net of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(47,541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discontinued operations, net of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loss attributable to noncontrolling interests included in </w:t>
              <w:br/>
              <w:t>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income (loss) attributable to BrightSpring Health Services, Inc. </w:t>
              <w:br/>
              <w:t>   and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(25,831</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 income (loss) per share attributable to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 income (loss) per share attributable to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186,523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186,523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8</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BrightSpring Health Services, Inc. and Subsidiaries</w:t>
      </w:r>
    </w:p>
    <w:p>
      <w:pPr>
        <w:pStyle w:val="TextBody"/>
        <w:bidi w:val="0"/>
        <w:jc w:val="center"/>
        <w:rPr>
          <w:rFonts w:ascii="Times New Roman" w:hAnsi="Times New Roman"/>
          <w:sz w:val="20"/>
        </w:rPr>
      </w:pPr>
      <w:r>
        <w:rPr>
          <w:rFonts w:ascii="Times New Roman" w:hAnsi="Times New Roman"/>
          <w:b/>
          <w:color w:val="231F20"/>
          <w:sz w:val="20"/>
        </w:rPr>
        <w:t>Consolidated Statements of Cash Flows</w:t>
      </w:r>
      <w:r>
        <w:rPr>
          <w:rFonts w:ascii="Times New Roman" w:hAnsi="Times New Roman"/>
          <w:color w:val="231F2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three and six months ended June 30, 2025 and 2024</w:t>
      </w:r>
    </w:p>
    <w:p>
      <w:pPr>
        <w:pStyle w:val="TextBody"/>
        <w:bidi w:val="0"/>
        <w:jc w:val="center"/>
        <w:rPr>
          <w:rFonts w:ascii="Times New Roman" w:hAnsi="Times New Roman"/>
          <w:i/>
          <w:color w:val="231F20"/>
          <w:sz w:val="20"/>
        </w:rPr>
      </w:pPr>
      <w:r>
        <w:rPr>
          <w:rFonts w:ascii="Times New Roman" w:hAnsi="Times New Roman"/>
          <w:i/>
          <w:color w:val="231F20"/>
          <w:sz w:val="20"/>
        </w:rPr>
        <w:t>(In thousands)</w:t>
      </w:r>
    </w:p>
    <w:p>
      <w:pPr>
        <w:pStyle w:val="TextBody"/>
        <w:bidi w:val="0"/>
        <w:jc w:val="center"/>
        <w:rPr>
          <w:rFonts w:ascii="Times New Roman" w:hAnsi="Times New Roman"/>
          <w:i/>
          <w:color w:val="231F20"/>
          <w:sz w:val="20"/>
        </w:rPr>
      </w:pPr>
      <w:r>
        <w:rPr>
          <w:rFonts w:ascii="Times New Roman" w:hAnsi="Times New Roman"/>
          <w:i/>
          <w:color w:val="231F2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421"/>
        <w:gridCol w:w="146"/>
        <w:gridCol w:w="198"/>
        <w:gridCol w:w="700"/>
        <w:gridCol w:w="167"/>
        <w:gridCol w:w="147"/>
        <w:gridCol w:w="198"/>
        <w:gridCol w:w="760"/>
        <w:gridCol w:w="166"/>
        <w:gridCol w:w="146"/>
        <w:gridCol w:w="196"/>
        <w:gridCol w:w="751"/>
        <w:gridCol w:w="166"/>
        <w:gridCol w:w="146"/>
        <w:gridCol w:w="196"/>
        <w:gridCol w:w="886"/>
        <w:gridCol w:w="815"/>
      </w:tblGrid>
      <w:tr>
        <w:trPr/>
        <w:tc>
          <w:tcPr>
            <w:tcW w:w="4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27,542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(26,944</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4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 xml:space="preserve">Adjustments to reconcile net income (loss) to cash provided by (used in) </w:t>
              <w:br/>
              <w:t>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41,839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98,993</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2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Impairment of long-lived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1,980</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Change in fair value of contingent consideration,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21" w:type="dxa"/>
            <w:tcBorders/>
            <w:shd w:fill="CFF0FC" w:val="clear"/>
            <w:tcMar>
              <w:top w:w="0" w:type="dxa"/>
              <w:left w:w="0" w:type="dxa"/>
              <w:bottom w:w="0" w:type="dxa"/>
              <w:right w:w="0" w:type="dxa"/>
            </w:tcMar>
            <w:vAlign w:val="center"/>
          </w:tcPr>
          <w:p>
            <w:pPr>
              <w:pStyle w:val="TableContents"/>
              <w:bidi w:val="0"/>
              <w:ind w:left="400" w:right="0" w:firstLine="400"/>
              <w:jc w:val="left"/>
              <w:rPr>
                <w:rFonts w:ascii="Times New Roman" w:hAnsi="Times New Roman"/>
                <w:color w:val="000000"/>
                <w:sz w:val="18"/>
              </w:rPr>
            </w:pPr>
            <w:r>
              <w:rPr>
                <w:rFonts w:ascii="Times New Roman" w:hAnsi="Times New Roman"/>
                <w:color w:val="000000"/>
                <w:sz w:val="18"/>
              </w:rPr>
              <w:t xml:space="preserve">Payment of contingent consideration in excess of acquisition date fair </w:t>
            </w:r>
          </w:p>
          <w:p>
            <w:pPr>
              <w:pStyle w:val="TableContents"/>
              <w:bidi w:val="0"/>
              <w:spacing w:before="0" w:after="283"/>
              <w:ind w:left="400" w:right="0" w:firstLine="400"/>
              <w:jc w:val="left"/>
              <w:rPr>
                <w:color w:val="000000"/>
              </w:rPr>
            </w:pPr>
            <w:r>
              <w:rPr>
                <w:color w:val="000000"/>
              </w:rPr>
              <w:t>    </w:t>
            </w:r>
            <w:r>
              <w:rPr>
                <w:rFonts w:ascii="Times New Roman" w:hAnsi="Times New Roman"/>
                <w:color w:val="000000"/>
                <w:sz w:val="18"/>
              </w:rPr>
              <w:t>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32,557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13,118</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2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Amortization of deferred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6,937</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22,802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39,984</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2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Deferred income taxes,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(49,260</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12,726</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2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Loss (gain) on disposition of fixed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(1,438</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42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 xml:space="preserve">Change in operating assets and liabilities, net of acquisitions </w:t>
              <w:br/>
              <w:t>   and dispositions: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color w:val="000000"/>
              </w:rPr>
            </w:pPr>
            <w:r>
              <w:rPr>
                <w:color w:val="000000"/>
              </w:rPr>
              <w:t>        </w:t>
            </w:r>
            <w:r>
              <w:rPr>
                <w:rFonts w:ascii="Times New Roman" w:hAnsi="Times New Roman"/>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(33,307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(112,522</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4421"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color w:val="000000"/>
              </w:rPr>
            </w:pPr>
            <w:r>
              <w:rPr>
                <w:color w:val="000000"/>
              </w:rPr>
              <w:t>        </w:t>
            </w: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21,737</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color w:val="000000"/>
              </w:rPr>
            </w:pPr>
            <w:r>
              <w:rPr>
                <w:color w:val="000000"/>
              </w:rPr>
              <w:t>        </w:t>
            </w:r>
            <w:r>
              <w:rPr>
                <w:rFonts w:ascii="Times New Roman" w:hAnsi="Times New Roman"/>
                <w:color w:val="000000"/>
                <w:sz w:val="18"/>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(91,827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29,720</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421"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color w:val="000000"/>
              </w:rPr>
            </w:pPr>
            <w:r>
              <w:rPr>
                <w:color w:val="000000"/>
              </w:rPr>
              <w:t>        </w:t>
            </w:r>
            <w:r>
              <w:rPr>
                <w:rFonts w:ascii="Times New Roman" w:hAnsi="Times New Roman"/>
                <w:color w:val="000000"/>
                <w:sz w:val="18"/>
              </w:rPr>
              <w:t>Trade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107,148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41,329</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color w:val="000000"/>
              </w:rPr>
            </w:pPr>
            <w:r>
              <w:rPr>
                <w:color w:val="000000"/>
              </w:rPr>
              <w:t>        </w:t>
            </w:r>
            <w:r>
              <w:rPr>
                <w:rFonts w:ascii="Times New Roman" w:hAnsi="Times New Roman"/>
                <w:color w:val="000000"/>
                <w:sz w:val="18"/>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(52,133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(153,892</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4421"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color w:val="000000"/>
              </w:rPr>
            </w:pPr>
            <w:r>
              <w:rPr>
                <w:color w:val="000000"/>
              </w:rPr>
              <w:t>        </w:t>
            </w:r>
            <w:r>
              <w:rPr>
                <w:rFonts w:ascii="Times New Roman" w:hAnsi="Times New Roman"/>
                <w:color w:val="000000"/>
                <w:sz w:val="18"/>
              </w:rPr>
              <w:t>Other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(7,916</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(16,576</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49,076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150,674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(94,084</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(24,425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(45,559</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42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Acquisitions of businesses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(43,611</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1,182</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421"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(23,243</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(88,630</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Long-term debt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2,566,000</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Long-term debt repayments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(3,370,970</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4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issuance of common stock on initial public offering,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656,485</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issuance of tangible equity units,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389,000</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Borrowings (repayments) of the Revolving Credit Facility,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5,100</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Payments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(43,188</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4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Repurchase of shares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shares issued under share-based compensation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Taxes paid related to net share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Shares issued for payment of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Payment of acquisition earn-outs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(2,656</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Purchase of redeemable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4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Payments of financing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(3,283</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(5,636</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Net cash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(8,243</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194,670</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421"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17,590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11,956</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52,642</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13,071</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70,232</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25,027</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and cash equivalents included in assets held for sale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2,179</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and cash equivalents included in continuing operations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70,070</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22,848</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9</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BrightSpring Health Services, Inc. and Subsidiaries</w:t>
      </w:r>
    </w:p>
    <w:p>
      <w:pPr>
        <w:pStyle w:val="TextBody"/>
        <w:bidi w:val="0"/>
        <w:jc w:val="center"/>
        <w:rPr>
          <w:rFonts w:ascii="Times New Roman" w:hAnsi="Times New Roman"/>
          <w:b/>
          <w:color w:val="231F20"/>
          <w:sz w:val="20"/>
        </w:rPr>
      </w:pPr>
      <w:r>
        <w:rPr>
          <w:rFonts w:ascii="Times New Roman" w:hAnsi="Times New Roman"/>
          <w:b/>
          <w:color w:val="231F20"/>
          <w:sz w:val="20"/>
        </w:rPr>
        <w:t>Reconciliation of EBITDA and Adjusted EBITDA</w:t>
      </w:r>
    </w:p>
    <w:p>
      <w:pPr>
        <w:pStyle w:val="TextBody"/>
        <w:bidi w:val="0"/>
        <w:jc w:val="center"/>
        <w:rPr>
          <w:rFonts w:ascii="Times New Roman" w:hAnsi="Times New Roman"/>
          <w:b/>
          <w:color w:val="000000"/>
          <w:sz w:val="20"/>
        </w:rPr>
      </w:pPr>
      <w:r>
        <w:rPr>
          <w:rFonts w:ascii="Times New Roman" w:hAnsi="Times New Roman"/>
          <w:b/>
          <w:color w:val="000000"/>
          <w:sz w:val="20"/>
        </w:rPr>
        <w:t>For the three and six months ended June 30, 2025 and 2024</w:t>
      </w:r>
    </w:p>
    <w:p>
      <w:pPr>
        <w:pStyle w:val="TextBody"/>
        <w:bidi w:val="0"/>
        <w:jc w:val="center"/>
        <w:rPr>
          <w:rFonts w:ascii="Times New Roman" w:hAnsi="Times New Roman"/>
          <w:i/>
          <w:color w:val="231F20"/>
          <w:sz w:val="20"/>
        </w:rPr>
      </w:pPr>
      <w:r>
        <w:rPr>
          <w:rFonts w:ascii="Times New Roman" w:hAnsi="Times New Roman"/>
          <w:i/>
          <w:color w:val="231F20"/>
          <w:sz w:val="20"/>
        </w:rPr>
        <w:t>(Unaudited)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reconciles net income (loss) to EBITDA and Adjusted EBITDA:</w:t>
      </w:r>
    </w:p>
    <w:p>
      <w:pPr>
        <w:pStyle w:val="TextBody"/>
        <w:bidi w:val="0"/>
        <w:jc w:val="left"/>
        <w:rPr/>
      </w:pPr>
      <w:r>
        <w:rPr/>
        <w:t> </w:t>
      </w:r>
    </w:p>
    <w:tbl>
      <w:tblPr>
        <w:tblW w:w="9962" w:type="dxa"/>
        <w:jc w:val="left"/>
        <w:tblInd w:w="0" w:type="dxa"/>
        <w:tblLayout w:type="fixed"/>
        <w:tblCellMar>
          <w:top w:w="28" w:type="dxa"/>
          <w:left w:w="28" w:type="dxa"/>
          <w:bottom w:w="28" w:type="dxa"/>
          <w:right w:w="28" w:type="dxa"/>
        </w:tblCellMar>
      </w:tblPr>
      <w:tblGrid>
        <w:gridCol w:w="4741"/>
        <w:gridCol w:w="146"/>
        <w:gridCol w:w="211"/>
        <w:gridCol w:w="781"/>
        <w:gridCol w:w="146"/>
        <w:gridCol w:w="146"/>
        <w:gridCol w:w="211"/>
        <w:gridCol w:w="781"/>
        <w:gridCol w:w="166"/>
        <w:gridCol w:w="146"/>
        <w:gridCol w:w="211"/>
        <w:gridCol w:w="781"/>
        <w:gridCol w:w="146"/>
        <w:gridCol w:w="146"/>
        <w:gridCol w:w="211"/>
        <w:gridCol w:w="781"/>
        <w:gridCol w:w="21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share-based compensation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integration, and transaction-related costs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divestiture-related and other costs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costs and settlements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Significant projects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212,852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Represents non-cash share-based compensation to certain members of our management and full-time employees. The six months ended June 30, 2024 includes $15.0 million of previously unrecognized share-based compensation expense related to performance-vesting options under the 2017 Stock Plan, a portion of which vested upon completion of the IPO.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Represents transaction costs incurred in connection with planned, completed, or terminated acquisitions, which include investment banking fees, legal diligence and related documentation costs, finance and accounting diligence and documentation; costs associated with the integration of acquisitions, including any facility consolidation, integration travel, or severance; and costs associated with other planned, completed, or terminated non-routine transactions. The three and six months ended June 30, 2025 includes other non-routine transaction costs of $16.2 million and $22.2 million, respectively, as compared to $0.7 million in the six months ended June 30,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costs associated with restructuring-related activities, including closure, and related license impairment, and severance expenses associated with certain enterprise-wide or significant business line cost-savings measures. These costs include $4.7 million and $14.7 million of costs that did not meet the criteria for discontinued operations related to the Community Living divestiture for the three and six months ended June 30, 2025, respectively, as compared to $7.3 million and $13.3 million for the three and six months ended June 30, 2024, respectively. These costs also include $12.7 million of unamortized debt issuance costs associated with the extinguishment of our Second Lien Facility in the six months ended June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settlement and defense costs associated with certain historical PharMerica litigation matters, including the Silver matter, all of which were finalized in 2024. See Note 13 within the unaudited condensed consolidated financial statements and related notes in this Quarterly Report on Form 10-Q for 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Represents costs associated with certain transformational projects and for the periods presented primarily included general ledger system implementation, pharmacy billing system implementation, and ransomware attack response costs, all of which were finalized in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annual management fees payable to the Managers under the Monitoring Agreement through the date of the IPO, and $22.7 million of termination fees resulting from the termination of the Monitoring Agreement upon completion of the IPO Offerings. All management fees ceased following the completion of the IPO in 2024.</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10</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BrightSpring Health Services, Inc. and Subsidiaries</w:t>
      </w:r>
    </w:p>
    <w:p>
      <w:pPr>
        <w:pStyle w:val="TextBody"/>
        <w:bidi w:val="0"/>
        <w:jc w:val="center"/>
        <w:rPr>
          <w:rFonts w:ascii="Times New Roman" w:hAnsi="Times New Roman"/>
          <w:b/>
          <w:color w:val="231F20"/>
          <w:sz w:val="20"/>
        </w:rPr>
      </w:pPr>
      <w:r>
        <w:rPr>
          <w:rFonts w:ascii="Times New Roman" w:hAnsi="Times New Roman"/>
          <w:b/>
          <w:color w:val="231F20"/>
          <w:sz w:val="20"/>
        </w:rPr>
        <w:t>Reconciliation of Adjusted EPS</w:t>
      </w:r>
    </w:p>
    <w:p>
      <w:pPr>
        <w:pStyle w:val="TextBody"/>
        <w:bidi w:val="0"/>
        <w:jc w:val="center"/>
        <w:rPr>
          <w:rFonts w:ascii="Times New Roman" w:hAnsi="Times New Roman"/>
          <w:b/>
          <w:color w:val="000000"/>
          <w:sz w:val="20"/>
        </w:rPr>
      </w:pPr>
      <w:r>
        <w:rPr>
          <w:rFonts w:ascii="Times New Roman" w:hAnsi="Times New Roman"/>
          <w:b/>
          <w:color w:val="000000"/>
          <w:sz w:val="20"/>
        </w:rPr>
        <w:t>For the three and six months ended June 30, 2025 and 2024</w:t>
      </w:r>
    </w:p>
    <w:p>
      <w:pPr>
        <w:pStyle w:val="TextBody"/>
        <w:bidi w:val="0"/>
        <w:jc w:val="center"/>
        <w:rPr>
          <w:rFonts w:ascii="Times New Roman" w:hAnsi="Times New Roman"/>
          <w:i/>
          <w:color w:val="231F20"/>
          <w:sz w:val="20"/>
        </w:rPr>
      </w:pPr>
      <w:r>
        <w:rPr>
          <w:rFonts w:ascii="Times New Roman" w:hAnsi="Times New Roman"/>
          <w:i/>
          <w:color w:val="231F20"/>
          <w:sz w:val="20"/>
        </w:rPr>
        <w:t>(Unaudited)</w:t>
      </w:r>
    </w:p>
    <w:p>
      <w:pPr>
        <w:pStyle w:val="TextBody"/>
        <w:bidi w:val="0"/>
        <w:jc w:val="center"/>
        <w:rPr/>
      </w:pPr>
      <w:r>
        <w:rPr/>
        <w:t> </w:t>
      </w: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 xml:space="preserve">The following table reconciles diluted EPS to Adjusted EPS: </w:t>
      </w:r>
    </w:p>
    <w:p>
      <w:pPr>
        <w:pStyle w:val="TextBody"/>
        <w:bidi w:val="0"/>
        <w:ind w:left="0" w:right="0" w:firstLine="720"/>
        <w:jc w:val="left"/>
        <w:rPr/>
      </w:pPr>
      <w:r>
        <w:rPr/>
        <w:t> </w:t>
      </w:r>
    </w:p>
    <w:tbl>
      <w:tblPr>
        <w:tblW w:w="10205" w:type="dxa"/>
        <w:jc w:val="left"/>
        <w:tblInd w:w="0" w:type="dxa"/>
        <w:tblLayout w:type="fixed"/>
        <w:tblCellMar>
          <w:top w:w="28" w:type="dxa"/>
          <w:left w:w="28" w:type="dxa"/>
          <w:bottom w:w="28" w:type="dxa"/>
          <w:right w:w="28" w:type="dxa"/>
        </w:tblCellMar>
      </w:tblPr>
      <w:tblGrid>
        <w:gridCol w:w="4944"/>
        <w:gridCol w:w="146"/>
        <w:gridCol w:w="211"/>
        <w:gridCol w:w="781"/>
        <w:gridCol w:w="166"/>
        <w:gridCol w:w="146"/>
        <w:gridCol w:w="211"/>
        <w:gridCol w:w="781"/>
        <w:gridCol w:w="166"/>
        <w:gridCol w:w="146"/>
        <w:gridCol w:w="211"/>
        <w:gridCol w:w="781"/>
        <w:gridCol w:w="166"/>
        <w:gridCol w:w="146"/>
        <w:gridCol w:w="211"/>
        <w:gridCol w:w="781"/>
        <w:gridCol w:w="211"/>
      </w:tblGrid>
      <w:tr>
        <w:trPr/>
        <w:tc>
          <w:tcPr>
            <w:tcW w:w="4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(shares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share-based compensation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integration, and transaction-related costs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divestiture-related and other costs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costs and settlements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Significant projects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impact on adjustments (2)(3)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common shares outstanding used in calculating </w:t>
              <w:br/>
              <w:t>     diluted U.S. GAAP net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common shares outstanding used in calculating </w:t>
              <w:br/>
              <w:t>     diluted Non-GAAP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adjustment reflects the per share impact of the adjustment reflected within the definition of Adjusted EBITDA.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income tax impact of non-GAAP adjustments is calculated using the estimated tax rate for the respective non-GAAP adjustment.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2024, the income tax impact on adjustments is inclusive of a discrete tax benefit related to the Silver matter that was finalized in connection with the signing of the settlement agreement during the second fiscal quarter of 2024. </w:t>
      </w:r>
    </w:p>
    <w:p>
      <w:pPr>
        <w:pStyle w:val="TextBody"/>
        <w:bidi w:val="0"/>
        <w:jc w:val="left"/>
        <w:rPr>
          <w:rFonts w:ascii="Times New Roman" w:hAnsi="Times New Roman"/>
          <w:color w:val="000000"/>
          <w:sz w:val="24"/>
        </w:rPr>
      </w:pPr>
      <w:r>
        <w:rPr>
          <w:rFonts w:ascii="Times New Roman" w:hAnsi="Times New Roman"/>
          <w:color w:val="000000"/>
          <w:sz w:val="24"/>
        </w:rPr>
        <w:t>11</w:t>
      </w:r>
    </w:p>
    <w:p>
      <w:pPr>
        <w:pStyle w:val="TextBody"/>
        <w:bidi w:val="0"/>
        <w:jc w:val="righ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5121</Words>
  <Characters>29384</Characters>
  <CharactersWithSpaces>35173</CharactersWithSpaces>
  <Paragraphs>2676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