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ROUSSEAU JON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
        <w:spacing w:after="0" w:line="365" w:lineRule="auto"/>
        <w:rPr>
          <w:sz w:val="20"/>
          <w:szCs w:val="20"/>
          <w:color w:val="auto"/>
        </w:rPr>
      </w:pPr>
      <w:r>
        <w:rPr>
          <w:rFonts w:ascii="Times New Roman" w:cs="Times New Roman" w:eastAsia="Times New Roman" w:hAnsi="Times New Roman"/>
          <w:sz w:val="17"/>
          <w:szCs w:val="17"/>
          <w:color w:val="0000FF"/>
        </w:rPr>
        <w:t>C/O BRIGHTSPRING HEALTH SERVICES, INC. 805 N. WHITTINGTON PARKWAY</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BrightSpring Health Services,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BTSG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82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rPr>
                <w:sz w:val="20"/>
                <w:szCs w:val="20"/>
                <w:color w:val="auto"/>
              </w:rPr>
            </w:pPr>
            <w:r>
              <w:rPr>
                <w:rFonts w:ascii="Arial" w:cs="Arial" w:eastAsia="Arial" w:hAnsi="Arial"/>
                <w:sz w:val="13"/>
                <w:szCs w:val="13"/>
                <w:color w:val="auto"/>
              </w:rPr>
              <w:t>10% Owner</w:t>
            </w: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07/25/2025</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07/25/2025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52,203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20.53</w:t>
            </w:r>
          </w:p>
        </w:tc>
        <w:tc>
          <w:tcPr>
            <w:tcW w:w="116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1,131,930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369,763</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Rousseau</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by the Issuer to satisfy withholding taxes due in connection with the vesting of 109,442 restricted stock units ("RSUs") at a net settlement price equal to the closing stock price on July 25, 2025.</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states that this filing shall not be an admission that the Reporting Person is the beneficial owner of any of the securities reported herein as indirectly owned, and the Reporting Person disclaims beneficial ownership of such securities except to the extent of the Reporting Person's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Chairman, President and Chief Executive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Phipps,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07/29/2025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775" TargetMode="External"/><Relationship Id="rId14"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2025-07-29T15:22:40Z</dcterms:created>
  <dcterms:modified xsi:type="dcterms:W3CDTF">2025-07-29T15:22:40Z</dcterms:modified>
</cp:coreProperties>
</file>